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17BFB1C3" w:rsidR="00D21C8C" w:rsidRPr="00B96472" w:rsidRDefault="00D21C8C" w:rsidP="00D21C8C">
      <w:pPr>
        <w:pStyle w:val="CRCoverPage"/>
        <w:tabs>
          <w:tab w:val="left" w:pos="1980"/>
        </w:tabs>
        <w:spacing w:after="0"/>
        <w:jc w:val="both"/>
        <w:rPr>
          <w:rFonts w:ascii="Times New Roman" w:eastAsiaTheme="minorHAnsi" w:hAnsi="Times New Roman" w:cstheme="minorBidi"/>
          <w:b/>
          <w:bCs/>
          <w:sz w:val="28"/>
          <w:szCs w:val="32"/>
          <w:lang w:val="en-US"/>
        </w:rPr>
      </w:pPr>
      <w:r w:rsidRPr="00B96472">
        <w:rPr>
          <w:rFonts w:ascii="Times New Roman" w:eastAsiaTheme="minorHAnsi" w:hAnsi="Times New Roman"/>
          <w:b/>
          <w:bCs/>
          <w:sz w:val="28"/>
          <w:szCs w:val="32"/>
          <w:lang w:val="en-US"/>
        </w:rPr>
        <w:t>3GPP TSG RAN WG1 #1</w:t>
      </w:r>
      <w:r w:rsidR="006E6ACA" w:rsidRPr="00B96472">
        <w:rPr>
          <w:rFonts w:ascii="Times New Roman" w:eastAsiaTheme="minorHAnsi" w:hAnsi="Times New Roman"/>
          <w:b/>
          <w:bCs/>
          <w:sz w:val="28"/>
          <w:szCs w:val="32"/>
          <w:lang w:val="en-US"/>
        </w:rPr>
        <w:t>1</w:t>
      </w:r>
      <w:r w:rsidR="003F3044" w:rsidRPr="00B96472">
        <w:rPr>
          <w:rFonts w:ascii="Times New Roman" w:eastAsiaTheme="minorHAnsi" w:hAnsi="Times New Roman"/>
          <w:b/>
          <w:bCs/>
          <w:sz w:val="28"/>
          <w:szCs w:val="32"/>
          <w:lang w:val="en-US"/>
        </w:rPr>
        <w:t>2</w:t>
      </w:r>
      <w:r w:rsidRPr="00B96472">
        <w:rPr>
          <w:rFonts w:ascii="Times New Roman" w:eastAsiaTheme="minorHAnsi" w:hAnsi="Times New Roman" w:cstheme="minorBidi"/>
          <w:b/>
          <w:bCs/>
          <w:sz w:val="28"/>
          <w:szCs w:val="32"/>
          <w:lang w:val="en-US"/>
        </w:rPr>
        <w:tab/>
        <w:t xml:space="preserve">                          </w:t>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t xml:space="preserve">   </w:t>
      </w:r>
      <w:r w:rsidR="00267F25" w:rsidRPr="00B96472">
        <w:rPr>
          <w:rFonts w:ascii="Times New Roman" w:eastAsiaTheme="minorHAnsi" w:hAnsi="Times New Roman" w:cstheme="minorBidi"/>
          <w:b/>
          <w:bCs/>
          <w:sz w:val="28"/>
          <w:szCs w:val="32"/>
          <w:lang w:val="en-US"/>
        </w:rPr>
        <w:tab/>
      </w:r>
      <w:r w:rsidR="001E09EE" w:rsidRPr="00B96472">
        <w:rPr>
          <w:rFonts w:ascii="Times New Roman" w:eastAsiaTheme="minorHAnsi" w:hAnsi="Times New Roman" w:cstheme="minorBidi"/>
          <w:b/>
          <w:bCs/>
          <w:sz w:val="28"/>
          <w:szCs w:val="32"/>
          <w:lang w:val="en-US"/>
        </w:rPr>
        <w:t>R1-2</w:t>
      </w:r>
      <w:r w:rsidR="00B9373D">
        <w:rPr>
          <w:rFonts w:ascii="Times New Roman" w:eastAsiaTheme="minorHAnsi" w:hAnsi="Times New Roman" w:cstheme="minorBidi"/>
          <w:b/>
          <w:bCs/>
          <w:sz w:val="28"/>
          <w:szCs w:val="32"/>
          <w:lang w:val="en-US"/>
        </w:rPr>
        <w:t>301169</w:t>
      </w:r>
    </w:p>
    <w:p w14:paraId="421A1909" w14:textId="3631115A" w:rsidR="003346F0" w:rsidRPr="00B96472" w:rsidRDefault="003F3044" w:rsidP="003346F0">
      <w:pPr>
        <w:pStyle w:val="CRCoverPage"/>
        <w:tabs>
          <w:tab w:val="left" w:pos="1980"/>
        </w:tabs>
        <w:spacing w:after="0"/>
        <w:jc w:val="both"/>
        <w:rPr>
          <w:rFonts w:ascii="Times New Roman" w:eastAsiaTheme="minorHAnsi" w:hAnsi="Times New Roman" w:cstheme="minorBidi"/>
          <w:b/>
          <w:bCs/>
          <w:sz w:val="28"/>
          <w:szCs w:val="32"/>
          <w:lang w:val="en-US"/>
        </w:rPr>
      </w:pPr>
      <w:r w:rsidRPr="00B96472">
        <w:rPr>
          <w:rFonts w:ascii="Times New Roman" w:eastAsiaTheme="minorHAnsi" w:hAnsi="Times New Roman"/>
          <w:b/>
          <w:bCs/>
          <w:sz w:val="28"/>
          <w:szCs w:val="32"/>
          <w:lang w:val="en-US"/>
        </w:rPr>
        <w:t>Athens, Greece, February 27</w:t>
      </w:r>
      <w:r w:rsidR="006E33E2" w:rsidRPr="006E33E2">
        <w:rPr>
          <w:rFonts w:ascii="Times New Roman" w:eastAsiaTheme="minorHAnsi" w:hAnsi="Times New Roman"/>
          <w:b/>
          <w:bCs/>
          <w:sz w:val="28"/>
          <w:szCs w:val="32"/>
          <w:vertAlign w:val="superscript"/>
          <w:lang w:val="en-US"/>
        </w:rPr>
        <w:t>th</w:t>
      </w:r>
      <w:r w:rsidRPr="00B96472">
        <w:rPr>
          <w:rFonts w:ascii="Times New Roman" w:eastAsiaTheme="minorHAnsi" w:hAnsi="Times New Roman"/>
          <w:b/>
          <w:bCs/>
          <w:sz w:val="28"/>
          <w:szCs w:val="32"/>
          <w:lang w:val="en-US"/>
        </w:rPr>
        <w:t xml:space="preserve"> – March 3</w:t>
      </w:r>
      <w:r w:rsidR="006E33E2" w:rsidRPr="006E33E2">
        <w:rPr>
          <w:rFonts w:ascii="Times New Roman" w:eastAsiaTheme="minorHAnsi" w:hAnsi="Times New Roman"/>
          <w:b/>
          <w:bCs/>
          <w:sz w:val="28"/>
          <w:szCs w:val="32"/>
          <w:vertAlign w:val="superscript"/>
          <w:lang w:val="en-US"/>
        </w:rPr>
        <w:t>rd</w:t>
      </w:r>
      <w:r w:rsidRPr="00B96472">
        <w:rPr>
          <w:rFonts w:ascii="Times New Roman" w:eastAsiaTheme="minorHAnsi" w:hAnsi="Times New Roman"/>
          <w:b/>
          <w:bCs/>
          <w:sz w:val="28"/>
          <w:szCs w:val="32"/>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0E27D80" w:rsidR="003346F0" w:rsidRPr="003F3044"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F3044">
        <w:rPr>
          <w:rFonts w:ascii="Times New Roman" w:hAnsi="Times New Roman"/>
          <w:b/>
          <w:bCs/>
          <w:sz w:val="24"/>
          <w:szCs w:val="24"/>
          <w:lang w:val="en-US"/>
        </w:rPr>
        <w:t>Agenda Item:</w:t>
      </w:r>
      <w:r w:rsidRPr="003F3044">
        <w:rPr>
          <w:rFonts w:ascii="Times New Roman" w:hAnsi="Times New Roman"/>
          <w:b/>
          <w:bCs/>
          <w:sz w:val="24"/>
          <w:szCs w:val="24"/>
          <w:lang w:val="en-US"/>
        </w:rPr>
        <w:tab/>
      </w:r>
      <w:r w:rsidR="00D95564" w:rsidRPr="003F3044">
        <w:rPr>
          <w:rFonts w:ascii="Times New Roman" w:hAnsi="Times New Roman"/>
          <w:b/>
          <w:bCs/>
          <w:sz w:val="24"/>
          <w:szCs w:val="24"/>
          <w:lang w:val="en-US"/>
        </w:rPr>
        <w:t>9.1</w:t>
      </w:r>
      <w:r w:rsidR="003605F6" w:rsidRPr="003F3044">
        <w:rPr>
          <w:rFonts w:ascii="Times New Roman" w:hAnsi="Times New Roman"/>
          <w:b/>
          <w:bCs/>
          <w:sz w:val="24"/>
          <w:szCs w:val="24"/>
          <w:lang w:val="en-US"/>
        </w:rPr>
        <w:t>2</w:t>
      </w:r>
      <w:r w:rsidR="00D95564" w:rsidRPr="003F3044">
        <w:rPr>
          <w:rFonts w:ascii="Times New Roman" w:hAnsi="Times New Roman"/>
          <w:b/>
          <w:bCs/>
          <w:sz w:val="24"/>
          <w:szCs w:val="24"/>
          <w:lang w:val="en-US"/>
        </w:rPr>
        <w:t>.</w:t>
      </w:r>
      <w:r w:rsidR="003605F6" w:rsidRPr="003F3044">
        <w:rPr>
          <w:rFonts w:ascii="Times New Roman" w:hAnsi="Times New Roman"/>
          <w:b/>
          <w:bCs/>
          <w:sz w:val="24"/>
          <w:szCs w:val="24"/>
          <w:lang w:val="en-US"/>
        </w:rPr>
        <w:t>1</w:t>
      </w:r>
    </w:p>
    <w:p w14:paraId="5BD454BF" w14:textId="1A83C60F" w:rsidR="003346F0" w:rsidRPr="003F3044" w:rsidRDefault="003346F0" w:rsidP="003F3044">
      <w:pPr>
        <w:tabs>
          <w:tab w:val="left" w:pos="1985"/>
        </w:tabs>
        <w:spacing w:before="0" w:after="0" w:line="276" w:lineRule="auto"/>
        <w:contextualSpacing/>
        <w:rPr>
          <w:rFonts w:cs="Times New Roman"/>
          <w:bCs/>
          <w:sz w:val="24"/>
          <w:szCs w:val="24"/>
        </w:rPr>
      </w:pPr>
      <w:r w:rsidRPr="003F3044">
        <w:rPr>
          <w:rFonts w:cs="Times New Roman"/>
          <w:b/>
          <w:bCs/>
          <w:sz w:val="24"/>
          <w:szCs w:val="24"/>
        </w:rPr>
        <w:t>Source:</w:t>
      </w:r>
      <w:r w:rsidRPr="003F3044">
        <w:rPr>
          <w:rFonts w:cs="Times New Roman"/>
          <w:b/>
          <w:bCs/>
          <w:sz w:val="24"/>
          <w:szCs w:val="24"/>
        </w:rPr>
        <w:tab/>
        <w:t>InterDigital</w:t>
      </w:r>
      <w:r w:rsidR="00F802F5" w:rsidRPr="003F3044">
        <w:rPr>
          <w:rFonts w:cs="Times New Roman"/>
          <w:b/>
          <w:bCs/>
          <w:sz w:val="24"/>
          <w:szCs w:val="24"/>
        </w:rPr>
        <w:t>,</w:t>
      </w:r>
      <w:r w:rsidRPr="003F3044">
        <w:rPr>
          <w:rFonts w:cs="Times New Roman"/>
          <w:b/>
          <w:bCs/>
          <w:sz w:val="24"/>
          <w:szCs w:val="24"/>
        </w:rPr>
        <w:t xml:space="preserve"> Inc.</w:t>
      </w:r>
    </w:p>
    <w:p w14:paraId="7BC40CBC" w14:textId="5AA15903" w:rsidR="003346F0" w:rsidRPr="003F3044" w:rsidRDefault="003346F0" w:rsidP="00914B0A">
      <w:pPr>
        <w:spacing w:after="0" w:line="276" w:lineRule="auto"/>
        <w:ind w:left="1985" w:hanging="1985"/>
        <w:contextualSpacing/>
        <w:rPr>
          <w:rFonts w:cs="Times New Roman"/>
          <w:b/>
          <w:bCs/>
          <w:sz w:val="24"/>
          <w:szCs w:val="24"/>
        </w:rPr>
      </w:pPr>
      <w:r w:rsidRPr="003F3044">
        <w:rPr>
          <w:rFonts w:cs="Times New Roman"/>
          <w:b/>
          <w:bCs/>
          <w:sz w:val="24"/>
          <w:szCs w:val="24"/>
        </w:rPr>
        <w:t>Title:</w:t>
      </w:r>
      <w:r w:rsidRPr="003F3044">
        <w:rPr>
          <w:rFonts w:cs="Times New Roman"/>
          <w:b/>
          <w:bCs/>
          <w:sz w:val="24"/>
          <w:szCs w:val="24"/>
        </w:rPr>
        <w:tab/>
      </w:r>
      <w:r w:rsidR="003605F6" w:rsidRPr="003F3044">
        <w:rPr>
          <w:rFonts w:cs="Times New Roman"/>
          <w:b/>
          <w:bCs/>
          <w:sz w:val="24"/>
          <w:szCs w:val="24"/>
        </w:rPr>
        <w:t>L1 enhancements for inter-cell beam management</w:t>
      </w:r>
    </w:p>
    <w:p w14:paraId="2B2970F9" w14:textId="77777777" w:rsidR="003346F0" w:rsidRPr="003F3044" w:rsidRDefault="003346F0" w:rsidP="00914B0A">
      <w:pPr>
        <w:spacing w:after="0" w:line="276" w:lineRule="auto"/>
        <w:ind w:left="1985" w:hanging="1985"/>
        <w:contextualSpacing/>
        <w:rPr>
          <w:rFonts w:cs="Times New Roman"/>
          <w:b/>
          <w:bCs/>
          <w:sz w:val="24"/>
          <w:szCs w:val="24"/>
        </w:rPr>
      </w:pPr>
      <w:r w:rsidRPr="003F3044">
        <w:rPr>
          <w:rFonts w:cs="Times New Roman"/>
          <w:b/>
          <w:bCs/>
          <w:sz w:val="24"/>
          <w:szCs w:val="24"/>
        </w:rPr>
        <w:t>Document for:</w:t>
      </w:r>
      <w:r w:rsidRPr="003F3044">
        <w:rPr>
          <w:rFonts w:cs="Times New Roman"/>
          <w:b/>
          <w:bCs/>
          <w:sz w:val="24"/>
          <w:szCs w:val="24"/>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6B8CDE6B" w:rsidR="00CD5952" w:rsidRDefault="0014579E" w:rsidP="00D51AEA">
      <w:pPr>
        <w:jc w:val="both"/>
        <w:rPr>
          <w:rFonts w:cs="Times New Roman"/>
          <w:szCs w:val="20"/>
          <w:lang w:val="en-GB"/>
        </w:rPr>
      </w:pPr>
      <w:r w:rsidRPr="00081CC8">
        <w:rPr>
          <w:rFonts w:cs="Times New Roman"/>
          <w:szCs w:val="20"/>
          <w:lang w:val="en-GB"/>
        </w:rPr>
        <w:t xml:space="preserve">In RAN1 #111, L1 enhancements for inter-cell beam management were discussed and the following </w:t>
      </w:r>
      <w:r w:rsidR="00B47BB6">
        <w:rPr>
          <w:rFonts w:cs="Times New Roman"/>
          <w:szCs w:val="20"/>
          <w:lang w:val="en-GB"/>
        </w:rPr>
        <w:t xml:space="preserve">agreements </w:t>
      </w:r>
      <w:r w:rsidRPr="00081CC8">
        <w:rPr>
          <w:rFonts w:cs="Times New Roman"/>
          <w:szCs w:val="20"/>
          <w:lang w:val="en-GB"/>
        </w:rPr>
        <w:t xml:space="preserve">were </w:t>
      </w:r>
      <w:r w:rsidR="00B47BB6">
        <w:rPr>
          <w:rFonts w:cs="Times New Roman"/>
          <w:szCs w:val="20"/>
          <w:lang w:val="en-GB"/>
        </w:rPr>
        <w:t>made</w:t>
      </w:r>
      <w:r w:rsidRPr="00081CC8">
        <w:rPr>
          <w:rFonts w:cs="Times New Roman"/>
          <w:szCs w:val="20"/>
          <w:lang w:val="en-GB"/>
        </w:rPr>
        <w:t xml:space="preserve"> [1]. In this contribution, </w:t>
      </w:r>
      <w:r w:rsidR="00B47BB6">
        <w:rPr>
          <w:rFonts w:cs="Times New Roman"/>
          <w:szCs w:val="20"/>
          <w:lang w:val="en-GB"/>
        </w:rPr>
        <w:t>further discussion on L1 enhancements is presented.</w:t>
      </w:r>
    </w:p>
    <w:tbl>
      <w:tblPr>
        <w:tblStyle w:val="TableGrid"/>
        <w:tblW w:w="0" w:type="auto"/>
        <w:tblLook w:val="04A0" w:firstRow="1" w:lastRow="0" w:firstColumn="1" w:lastColumn="0" w:noHBand="0" w:noVBand="1"/>
      </w:tblPr>
      <w:tblGrid>
        <w:gridCol w:w="9350"/>
      </w:tblGrid>
      <w:tr w:rsidR="00F75F67" w14:paraId="6E055966" w14:textId="77777777" w:rsidTr="00F75F67">
        <w:tc>
          <w:tcPr>
            <w:tcW w:w="9350" w:type="dxa"/>
          </w:tcPr>
          <w:p w14:paraId="21A1FFF0" w14:textId="77777777" w:rsidR="0014579E" w:rsidRDefault="0014579E" w:rsidP="0014579E">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5EE460C5" w14:textId="77777777" w:rsidR="0014579E" w:rsidRPr="0014579E" w:rsidRDefault="0014579E" w:rsidP="0014579E">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For Rel-18 LTM, L1 inter-frequency measurement is supported from RAN1 point of view.</w:t>
            </w:r>
          </w:p>
          <w:p w14:paraId="7A614373" w14:textId="77777777" w:rsidR="0014579E" w:rsidRPr="0014579E" w:rsidRDefault="0014579E" w:rsidP="0014579E">
            <w:pPr>
              <w:shd w:val="clear" w:color="auto" w:fill="FFFFFF"/>
              <w:jc w:val="both"/>
              <w:rPr>
                <w:rFonts w:cs="Times New Roman"/>
                <w:szCs w:val="20"/>
                <w:highlight w:val="green"/>
                <w:lang w:eastAsia="x-none"/>
              </w:rPr>
            </w:pPr>
            <w:r w:rsidRPr="0014579E">
              <w:rPr>
                <w:rFonts w:cs="Times New Roman"/>
                <w:szCs w:val="20"/>
                <w:highlight w:val="green"/>
                <w:lang w:eastAsia="x-none"/>
              </w:rPr>
              <w:t>Agreement</w:t>
            </w:r>
          </w:p>
          <w:p w14:paraId="00658379" w14:textId="77777777" w:rsidR="0014579E" w:rsidRPr="0014579E" w:rsidRDefault="0014579E" w:rsidP="0014579E">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Regarding the potential RAN1 enhancements to reduce the handover delay / interruption for Rel-18 LTM</w:t>
            </w:r>
          </w:p>
          <w:p w14:paraId="517173A0"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Support at least DL synchronization for candidate cell(s) based on at least SSB before cell switch command</w:t>
            </w:r>
          </w:p>
          <w:p w14:paraId="086DA396" w14:textId="4EAD5869" w:rsidR="0014579E" w:rsidRPr="0014579E" w:rsidRDefault="0014579E" w:rsidP="0014579E">
            <w:pPr>
              <w:pStyle w:val="ListParagraph"/>
              <w:numPr>
                <w:ilvl w:val="2"/>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Further study the necessary mechanism, e.g.</w:t>
            </w:r>
            <w:r w:rsidR="0093201F">
              <w:rPr>
                <w:rFonts w:ascii="Times New Roman" w:hAnsi="Times New Roman" w:cs="Times New Roman"/>
                <w:sz w:val="20"/>
                <w:szCs w:val="20"/>
              </w:rPr>
              <w:t>,</w:t>
            </w:r>
            <w:r w:rsidRPr="0014579E">
              <w:rPr>
                <w:rFonts w:ascii="Times New Roman" w:hAnsi="Times New Roman" w:cs="Times New Roman"/>
                <w:sz w:val="20"/>
                <w:szCs w:val="20"/>
              </w:rPr>
              <w:t xml:space="preserve"> signaling and UE capability</w:t>
            </w:r>
          </w:p>
          <w:p w14:paraId="712966EA" w14:textId="77777777" w:rsidR="0014579E" w:rsidRPr="0014579E" w:rsidRDefault="0014579E" w:rsidP="0014579E">
            <w:pPr>
              <w:shd w:val="clear" w:color="auto" w:fill="FFFFFF"/>
              <w:jc w:val="both"/>
              <w:rPr>
                <w:rFonts w:cs="Times New Roman"/>
                <w:szCs w:val="20"/>
                <w:highlight w:val="green"/>
                <w:lang w:eastAsia="x-none"/>
              </w:rPr>
            </w:pPr>
            <w:r w:rsidRPr="0014579E">
              <w:rPr>
                <w:rFonts w:cs="Times New Roman"/>
                <w:szCs w:val="20"/>
                <w:highlight w:val="green"/>
                <w:lang w:eastAsia="x-none"/>
              </w:rPr>
              <w:t>Agreement </w:t>
            </w:r>
          </w:p>
          <w:p w14:paraId="5C5E0C67" w14:textId="77777777" w:rsidR="0014579E" w:rsidRPr="0014579E" w:rsidRDefault="0014579E" w:rsidP="0014579E">
            <w:pPr>
              <w:rPr>
                <w:rFonts w:cs="Times New Roman"/>
                <w:szCs w:val="20"/>
              </w:rPr>
            </w:pPr>
            <w:r w:rsidRPr="0014579E">
              <w:rPr>
                <w:rFonts w:cs="Times New Roman"/>
                <w:szCs w:val="20"/>
              </w:rPr>
              <w:t>For L1 measurement report for Rel-18 L1/L2 mobility, if UE event triggered report for L1 measurement is supported based on further study</w:t>
            </w:r>
          </w:p>
          <w:p w14:paraId="1F0EACC1" w14:textId="77777777" w:rsidR="0014579E" w:rsidRPr="0014579E" w:rsidRDefault="0014579E" w:rsidP="0014579E">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 xml:space="preserve">At least the following aspects may be considered </w:t>
            </w:r>
          </w:p>
          <w:p w14:paraId="110619B8"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How to define UE event and exact definition of events,</w:t>
            </w:r>
          </w:p>
          <w:p w14:paraId="321564C3"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Report container</w:t>
            </w:r>
          </w:p>
          <w:p w14:paraId="79C75A2A"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 xml:space="preserve">Resource allocation/assignment for UE event triggered report </w:t>
            </w:r>
          </w:p>
          <w:p w14:paraId="6FDAE87A"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Necessity of indication to gNB when the condition UE event is met, and how</w:t>
            </w:r>
          </w:p>
          <w:p w14:paraId="3C158DD3"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 xml:space="preserve">Necessity to define the condition to start/stop the reporting, </w:t>
            </w:r>
          </w:p>
          <w:p w14:paraId="21EEBB16"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Contents of the report/reporting format, PCI, RS ID, measurement result etc.</w:t>
            </w:r>
          </w:p>
          <w:p w14:paraId="5E8BEFE4"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 xml:space="preserve">The interaction with filtered L1 measurement results (if supported) </w:t>
            </w:r>
          </w:p>
          <w:p w14:paraId="397EE0CF"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Support of simultaneous configuration of both UE event triggered and any of periodic/semi-persistence/aperiodic reporting, and solutions when both of them are configured.</w:t>
            </w:r>
          </w:p>
          <w:p w14:paraId="53833D04"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Report destination, whether the report is sent to serving cell only or can be sent to one or more candidate cell(s).</w:t>
            </w:r>
          </w:p>
          <w:p w14:paraId="6CC897CB" w14:textId="77777777" w:rsidR="0014579E" w:rsidRPr="0014579E" w:rsidRDefault="0014579E" w:rsidP="0014579E">
            <w:pPr>
              <w:pStyle w:val="ListParagraph"/>
              <w:numPr>
                <w:ilvl w:val="1"/>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Benefit when L3 measurement is involved</w:t>
            </w:r>
          </w:p>
          <w:p w14:paraId="2CB86E92" w14:textId="77777777" w:rsidR="0014579E" w:rsidRPr="0014579E" w:rsidRDefault="0014579E" w:rsidP="0014579E">
            <w:pPr>
              <w:rPr>
                <w:rFonts w:cs="Times New Roman"/>
                <w:szCs w:val="20"/>
                <w:highlight w:val="green"/>
                <w:lang w:eastAsia="x-none"/>
              </w:rPr>
            </w:pPr>
            <w:r w:rsidRPr="0014579E">
              <w:rPr>
                <w:rFonts w:cs="Times New Roman"/>
                <w:szCs w:val="20"/>
                <w:highlight w:val="green"/>
                <w:lang w:eastAsia="x-none"/>
              </w:rPr>
              <w:t>Agreement</w:t>
            </w:r>
          </w:p>
          <w:p w14:paraId="75C2E10A" w14:textId="6B259600" w:rsidR="0014579E" w:rsidRPr="0014579E" w:rsidRDefault="0014579E" w:rsidP="0014579E">
            <w:pPr>
              <w:rPr>
                <w:rFonts w:cs="Times New Roman"/>
                <w:szCs w:val="20"/>
              </w:rPr>
            </w:pPr>
            <w:r w:rsidRPr="0014579E">
              <w:rPr>
                <w:rFonts w:cs="Times New Roman"/>
                <w:szCs w:val="20"/>
              </w:rPr>
              <w:t>Send an LS to RAN2, 3 and 4 to inform them of the agreements under A.I 9.12.1 and A.I. 9.12.2 at RAN1#111.</w:t>
            </w:r>
          </w:p>
          <w:p w14:paraId="504022FC" w14:textId="77777777" w:rsidR="0014579E" w:rsidRPr="0014579E" w:rsidRDefault="0014579E" w:rsidP="0014579E">
            <w:pPr>
              <w:rPr>
                <w:rFonts w:eastAsia="Yu Mincho" w:cs="Times New Roman"/>
                <w:szCs w:val="20"/>
              </w:rPr>
            </w:pPr>
            <w:r w:rsidRPr="0014579E">
              <w:rPr>
                <w:rFonts w:eastAsia="Yu Mincho" w:cs="Times New Roman"/>
                <w:szCs w:val="20"/>
                <w:highlight w:val="green"/>
              </w:rPr>
              <w:t>Agreement</w:t>
            </w:r>
          </w:p>
          <w:p w14:paraId="478AFC2E" w14:textId="77777777" w:rsidR="0014579E" w:rsidRPr="0014579E" w:rsidRDefault="0014579E" w:rsidP="0014579E">
            <w:pPr>
              <w:rPr>
                <w:rFonts w:eastAsia="Yu Mincho" w:cs="Times New Roman"/>
                <w:szCs w:val="20"/>
                <w:highlight w:val="green"/>
              </w:rPr>
            </w:pPr>
            <w:r w:rsidRPr="0014579E">
              <w:rPr>
                <w:rFonts w:cs="Times New Roman"/>
                <w:szCs w:val="20"/>
              </w:rPr>
              <w:t xml:space="preserve">For candidate cell measurement for Rel-18 LTM, </w:t>
            </w:r>
          </w:p>
          <w:p w14:paraId="39F95A5C" w14:textId="77777777" w:rsidR="0014579E" w:rsidRPr="0014579E" w:rsidRDefault="0014579E" w:rsidP="0014579E">
            <w:pPr>
              <w:numPr>
                <w:ilvl w:val="1"/>
                <w:numId w:val="22"/>
              </w:numPr>
              <w:snapToGrid w:val="0"/>
              <w:spacing w:before="0"/>
              <w:jc w:val="both"/>
              <w:rPr>
                <w:rFonts w:cs="Times New Roman"/>
                <w:szCs w:val="20"/>
              </w:rPr>
            </w:pPr>
            <w:r w:rsidRPr="0014579E">
              <w:rPr>
                <w:rFonts w:cs="Times New Roman"/>
                <w:szCs w:val="20"/>
              </w:rPr>
              <w:t>SSB based L1-RSRP is supported for intra-frequency measurement</w:t>
            </w:r>
          </w:p>
          <w:p w14:paraId="2E0C599C" w14:textId="77777777" w:rsidR="0014579E" w:rsidRPr="0014579E" w:rsidRDefault="0014579E" w:rsidP="0014579E">
            <w:pPr>
              <w:numPr>
                <w:ilvl w:val="1"/>
                <w:numId w:val="22"/>
              </w:numPr>
              <w:snapToGrid w:val="0"/>
              <w:spacing w:before="0"/>
              <w:jc w:val="both"/>
              <w:rPr>
                <w:rFonts w:cs="Times New Roman"/>
                <w:szCs w:val="20"/>
              </w:rPr>
            </w:pPr>
            <w:r w:rsidRPr="0014579E">
              <w:rPr>
                <w:rFonts w:cs="Times New Roman"/>
                <w:szCs w:val="20"/>
              </w:rPr>
              <w:t>SSB based L1-RSRP is supported for inter-frequency measurement</w:t>
            </w:r>
            <w:r w:rsidRPr="0014579E">
              <w:rPr>
                <w:rFonts w:eastAsia="SimSun" w:cs="Times New Roman"/>
                <w:szCs w:val="20"/>
                <w:lang w:eastAsia="zh-CN"/>
              </w:rPr>
              <w:t xml:space="preserve"> from RAN1 point of view</w:t>
            </w:r>
          </w:p>
          <w:p w14:paraId="2AD67583" w14:textId="77777777" w:rsidR="0014579E" w:rsidRPr="0014579E" w:rsidRDefault="0014579E" w:rsidP="0014579E">
            <w:pPr>
              <w:numPr>
                <w:ilvl w:val="1"/>
                <w:numId w:val="22"/>
              </w:numPr>
              <w:snapToGrid w:val="0"/>
              <w:spacing w:before="0"/>
              <w:jc w:val="both"/>
              <w:rPr>
                <w:rFonts w:cs="Times New Roman"/>
                <w:szCs w:val="20"/>
              </w:rPr>
            </w:pPr>
            <w:r w:rsidRPr="0014579E">
              <w:rPr>
                <w:rFonts w:cs="Times New Roman"/>
                <w:szCs w:val="20"/>
              </w:rPr>
              <w:t>FFS: L1-SINR, CSI-RS based L1-RSRP</w:t>
            </w:r>
          </w:p>
          <w:p w14:paraId="0066F324" w14:textId="1BF86062" w:rsidR="0014579E" w:rsidRDefault="0014579E" w:rsidP="0014579E">
            <w:pPr>
              <w:rPr>
                <w:rFonts w:cs="Times New Roman"/>
                <w:szCs w:val="20"/>
                <w:lang w:eastAsia="x-none"/>
              </w:rPr>
            </w:pPr>
          </w:p>
          <w:p w14:paraId="2296561C" w14:textId="77777777" w:rsidR="0093201F" w:rsidRPr="0014579E" w:rsidRDefault="0093201F" w:rsidP="0014579E">
            <w:pPr>
              <w:rPr>
                <w:rFonts w:cs="Times New Roman"/>
                <w:szCs w:val="20"/>
                <w:lang w:eastAsia="x-none"/>
              </w:rPr>
            </w:pPr>
          </w:p>
          <w:p w14:paraId="088A69AC" w14:textId="77777777" w:rsidR="0014579E" w:rsidRPr="0014579E" w:rsidRDefault="0014579E" w:rsidP="0014579E">
            <w:pPr>
              <w:rPr>
                <w:rFonts w:eastAsia="Yu Mincho" w:cs="Times New Roman"/>
                <w:szCs w:val="20"/>
                <w:highlight w:val="green"/>
              </w:rPr>
            </w:pPr>
            <w:r w:rsidRPr="0014579E">
              <w:rPr>
                <w:rFonts w:eastAsia="Yu Mincho" w:cs="Times New Roman"/>
                <w:szCs w:val="20"/>
                <w:highlight w:val="green"/>
              </w:rPr>
              <w:lastRenderedPageBreak/>
              <w:t>Agreement</w:t>
            </w:r>
          </w:p>
          <w:p w14:paraId="4104AACD" w14:textId="77777777" w:rsidR="0014579E" w:rsidRPr="0014579E" w:rsidRDefault="0014579E" w:rsidP="0014579E">
            <w:pPr>
              <w:rPr>
                <w:rFonts w:cs="Times New Roman"/>
                <w:szCs w:val="20"/>
              </w:rPr>
            </w:pPr>
            <w:r w:rsidRPr="0014579E">
              <w:rPr>
                <w:rFonts w:cs="Times New Roman"/>
                <w:szCs w:val="20"/>
              </w:rPr>
              <w:t>The beam indication of candidate cell(s) for Rel-18 LTM should be designed based on the following:</w:t>
            </w:r>
          </w:p>
          <w:p w14:paraId="6B194EFB" w14:textId="77777777" w:rsidR="0014579E" w:rsidRPr="0014579E" w:rsidRDefault="0014579E" w:rsidP="0014579E">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 xml:space="preserve">Beam indication for Rel-18 LTM is designed based on Rel-17 unified TCI framework, if both serving cell and candidate cell support Rel-17 unified TCI framework </w:t>
            </w:r>
          </w:p>
          <w:p w14:paraId="44F7DFE8" w14:textId="77777777" w:rsidR="0014579E" w:rsidRPr="0014579E" w:rsidRDefault="0014579E" w:rsidP="0014579E">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FFS: whether/how to design mechanism for Beam indication for Rel-18 LTM when at least one from serving cell and candidate cell supports only Rel-15 TCI framework.</w:t>
            </w:r>
          </w:p>
          <w:p w14:paraId="74559055" w14:textId="77777777" w:rsidR="0014579E" w:rsidRPr="0014579E" w:rsidRDefault="0014579E" w:rsidP="0014579E">
            <w:pPr>
              <w:pStyle w:val="ListParagraph"/>
              <w:numPr>
                <w:ilvl w:val="0"/>
                <w:numId w:val="21"/>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14579E">
              <w:rPr>
                <w:rFonts w:ascii="Times New Roman" w:hAnsi="Times New Roman" w:cs="Times New Roman"/>
                <w:sz w:val="20"/>
                <w:szCs w:val="20"/>
              </w:rPr>
              <w:t xml:space="preserve">Note: How and whether to indicate the new serving cell(s) and timing for beam indication are separately discussed </w:t>
            </w:r>
          </w:p>
          <w:p w14:paraId="118F10E8" w14:textId="77777777" w:rsidR="0014579E" w:rsidRPr="0014579E" w:rsidRDefault="0014579E" w:rsidP="0014579E">
            <w:pPr>
              <w:tabs>
                <w:tab w:val="left" w:pos="1680"/>
              </w:tabs>
              <w:rPr>
                <w:rFonts w:eastAsia="Yu Mincho" w:cs="Times New Roman"/>
                <w:szCs w:val="20"/>
                <w:highlight w:val="green"/>
              </w:rPr>
            </w:pPr>
            <w:r w:rsidRPr="0014579E">
              <w:rPr>
                <w:rFonts w:eastAsia="Yu Mincho" w:cs="Times New Roman"/>
                <w:szCs w:val="20"/>
                <w:highlight w:val="green"/>
              </w:rPr>
              <w:t>Agreement</w:t>
            </w:r>
          </w:p>
          <w:p w14:paraId="388849DB" w14:textId="77777777" w:rsidR="0014579E" w:rsidRPr="0014579E" w:rsidRDefault="0014579E" w:rsidP="0014579E">
            <w:pPr>
              <w:rPr>
                <w:rFonts w:cs="Times New Roman"/>
                <w:szCs w:val="20"/>
              </w:rPr>
            </w:pPr>
            <w:r w:rsidRPr="0014579E">
              <w:rPr>
                <w:rFonts w:cs="Times New Roman"/>
                <w:szCs w:val="20"/>
              </w:rPr>
              <w:t>For gNB scheduled L1 measurement report for Rel-18 LTM, report as UCI is supported</w:t>
            </w:r>
          </w:p>
          <w:p w14:paraId="5F862B87" w14:textId="77777777" w:rsidR="0014579E" w:rsidRPr="0014579E" w:rsidRDefault="0014579E" w:rsidP="0014579E">
            <w:pPr>
              <w:numPr>
                <w:ilvl w:val="0"/>
                <w:numId w:val="23"/>
              </w:numPr>
              <w:snapToGrid w:val="0"/>
              <w:spacing w:before="0"/>
              <w:jc w:val="both"/>
              <w:rPr>
                <w:rFonts w:cs="Times New Roman"/>
                <w:szCs w:val="20"/>
              </w:rPr>
            </w:pPr>
            <w:r w:rsidRPr="0014579E">
              <w:rPr>
                <w:rFonts w:cs="Times New Roman"/>
                <w:szCs w:val="20"/>
              </w:rPr>
              <w:t>Semi-persistent report on PUSCH, and aperiodic report on PUSCH are supported</w:t>
            </w:r>
          </w:p>
          <w:p w14:paraId="3940B322" w14:textId="77777777" w:rsidR="0014579E" w:rsidRPr="0014579E" w:rsidRDefault="0014579E" w:rsidP="0014579E">
            <w:pPr>
              <w:numPr>
                <w:ilvl w:val="1"/>
                <w:numId w:val="23"/>
              </w:numPr>
              <w:snapToGrid w:val="0"/>
              <w:spacing w:before="0"/>
              <w:jc w:val="both"/>
              <w:rPr>
                <w:rFonts w:cs="Times New Roman"/>
                <w:szCs w:val="20"/>
              </w:rPr>
            </w:pPr>
            <w:r w:rsidRPr="0014579E">
              <w:rPr>
                <w:rFonts w:cs="Times New Roman"/>
                <w:szCs w:val="20"/>
              </w:rPr>
              <w:t>FFS: periodic and semi-persistent PUCCH</w:t>
            </w:r>
          </w:p>
          <w:p w14:paraId="0224F812" w14:textId="77777777" w:rsidR="0014579E" w:rsidRPr="0014579E" w:rsidRDefault="0014579E" w:rsidP="0014579E">
            <w:pPr>
              <w:numPr>
                <w:ilvl w:val="0"/>
                <w:numId w:val="23"/>
              </w:numPr>
              <w:snapToGrid w:val="0"/>
              <w:spacing w:before="0"/>
              <w:jc w:val="both"/>
              <w:rPr>
                <w:rFonts w:cs="Times New Roman"/>
                <w:szCs w:val="20"/>
              </w:rPr>
            </w:pPr>
            <w:r w:rsidRPr="0014579E">
              <w:rPr>
                <w:rFonts w:cs="Times New Roman"/>
                <w:szCs w:val="20"/>
              </w:rPr>
              <w:t xml:space="preserve">In a single report instance, report for serving cell and candidate cell(s) for intra-frequency and/or inter-frequency can be included. </w:t>
            </w:r>
          </w:p>
          <w:p w14:paraId="5F4D8069" w14:textId="77777777" w:rsidR="0014579E" w:rsidRPr="0014579E" w:rsidRDefault="0014579E" w:rsidP="0014579E">
            <w:pPr>
              <w:rPr>
                <w:rFonts w:eastAsia="Yu Mincho" w:cs="Times New Roman"/>
                <w:szCs w:val="20"/>
              </w:rPr>
            </w:pPr>
          </w:p>
          <w:p w14:paraId="3B442CFD" w14:textId="77777777" w:rsidR="0014579E" w:rsidRPr="0014579E" w:rsidRDefault="0014579E" w:rsidP="0014579E">
            <w:pPr>
              <w:rPr>
                <w:rFonts w:cs="Times New Roman"/>
                <w:szCs w:val="20"/>
                <w:highlight w:val="green"/>
              </w:rPr>
            </w:pPr>
            <w:r w:rsidRPr="0014579E">
              <w:rPr>
                <w:rFonts w:eastAsia="Yu Mincho" w:cs="Times New Roman"/>
                <w:szCs w:val="20"/>
                <w:highlight w:val="green"/>
              </w:rPr>
              <w:t>Agreement</w:t>
            </w:r>
          </w:p>
          <w:p w14:paraId="417EC585" w14:textId="77777777" w:rsidR="0014579E" w:rsidRPr="0014579E" w:rsidRDefault="0014579E" w:rsidP="0014579E">
            <w:pPr>
              <w:numPr>
                <w:ilvl w:val="0"/>
                <w:numId w:val="24"/>
              </w:numPr>
              <w:spacing w:before="0"/>
              <w:rPr>
                <w:rFonts w:eastAsia="MS PGothic" w:cs="Times New Roman"/>
                <w:szCs w:val="20"/>
              </w:rPr>
            </w:pPr>
            <w:r w:rsidRPr="0014579E">
              <w:rPr>
                <w:rFonts w:cs="Times New Roman"/>
                <w:szCs w:val="20"/>
              </w:rPr>
              <w:t xml:space="preserve">For beam indication timing for Rel-18 LTM, </w:t>
            </w:r>
          </w:p>
          <w:p w14:paraId="376C5077" w14:textId="77777777" w:rsidR="0014579E" w:rsidRPr="0014579E" w:rsidRDefault="0014579E" w:rsidP="0014579E">
            <w:pPr>
              <w:numPr>
                <w:ilvl w:val="1"/>
                <w:numId w:val="24"/>
              </w:numPr>
              <w:spacing w:before="0"/>
              <w:rPr>
                <w:rFonts w:eastAsia="MS PGothic" w:cs="Times New Roman"/>
                <w:szCs w:val="20"/>
              </w:rPr>
            </w:pPr>
            <w:r w:rsidRPr="0014579E">
              <w:rPr>
                <w:rFonts w:cs="Times New Roman"/>
                <w:szCs w:val="20"/>
              </w:rPr>
              <w:t xml:space="preserve">Support Scenario 2: Beam indication together with cell switch command, </w:t>
            </w:r>
          </w:p>
          <w:p w14:paraId="5157B434" w14:textId="77777777" w:rsidR="0014579E" w:rsidRPr="0014579E" w:rsidRDefault="0014579E" w:rsidP="0014579E">
            <w:pPr>
              <w:numPr>
                <w:ilvl w:val="2"/>
                <w:numId w:val="24"/>
              </w:numPr>
              <w:spacing w:before="0"/>
              <w:rPr>
                <w:rFonts w:eastAsia="MS PGothic" w:cs="Times New Roman"/>
                <w:szCs w:val="20"/>
              </w:rPr>
            </w:pPr>
            <w:r w:rsidRPr="0014579E">
              <w:rPr>
                <w:rFonts w:cs="Times New Roman"/>
                <w:szCs w:val="20"/>
              </w:rPr>
              <w:t xml:space="preserve">For Rel-17 unified TCI framework, </w:t>
            </w:r>
          </w:p>
          <w:p w14:paraId="2CA919F7" w14:textId="77777777" w:rsidR="0014579E" w:rsidRPr="0014579E" w:rsidRDefault="0014579E" w:rsidP="0014579E">
            <w:pPr>
              <w:numPr>
                <w:ilvl w:val="3"/>
                <w:numId w:val="24"/>
              </w:numPr>
              <w:spacing w:before="0"/>
              <w:rPr>
                <w:rFonts w:eastAsia="MS PGothic" w:cs="Times New Roman"/>
                <w:szCs w:val="20"/>
              </w:rPr>
            </w:pPr>
            <w:r w:rsidRPr="0014579E">
              <w:rPr>
                <w:rFonts w:cs="Times New Roman"/>
                <w:szCs w:val="20"/>
              </w:rPr>
              <w:t>Beam indication indicates TCI state for each target serving cell</w:t>
            </w:r>
          </w:p>
          <w:p w14:paraId="6E55E1DC" w14:textId="77777777" w:rsidR="0014579E" w:rsidRPr="0014579E" w:rsidRDefault="0014579E" w:rsidP="0014579E">
            <w:pPr>
              <w:numPr>
                <w:ilvl w:val="1"/>
                <w:numId w:val="24"/>
              </w:numPr>
              <w:spacing w:before="0"/>
              <w:rPr>
                <w:rFonts w:cs="Times New Roman"/>
                <w:szCs w:val="20"/>
              </w:rPr>
            </w:pPr>
            <w:r w:rsidRPr="0014579E">
              <w:rPr>
                <w:rFonts w:cs="Times New Roman"/>
                <w:szCs w:val="20"/>
              </w:rPr>
              <w:t>FFS: Scenario 1: Beam indication before cell switch command</w:t>
            </w:r>
          </w:p>
          <w:p w14:paraId="6FC6998C" w14:textId="77777777" w:rsidR="0014579E" w:rsidRPr="0014579E" w:rsidRDefault="0014579E" w:rsidP="0014579E">
            <w:pPr>
              <w:numPr>
                <w:ilvl w:val="1"/>
                <w:numId w:val="24"/>
              </w:numPr>
              <w:spacing w:before="0"/>
              <w:rPr>
                <w:rFonts w:eastAsia="Times New Roman" w:cs="Times New Roman"/>
                <w:szCs w:val="20"/>
              </w:rPr>
            </w:pPr>
            <w:r w:rsidRPr="0014579E">
              <w:rPr>
                <w:rFonts w:cs="Times New Roman"/>
                <w:szCs w:val="20"/>
              </w:rPr>
              <w:t>FFS: Scenario 3: Beam indication after cell switch command</w:t>
            </w:r>
          </w:p>
          <w:p w14:paraId="30FD8DF7" w14:textId="77777777" w:rsidR="0014579E" w:rsidRPr="0014579E" w:rsidRDefault="0014579E" w:rsidP="0014579E">
            <w:pPr>
              <w:numPr>
                <w:ilvl w:val="0"/>
                <w:numId w:val="24"/>
              </w:numPr>
              <w:spacing w:before="0"/>
              <w:rPr>
                <w:rFonts w:cs="Times New Roman"/>
                <w:szCs w:val="20"/>
              </w:rPr>
            </w:pPr>
            <w:r w:rsidRPr="0014579E">
              <w:rPr>
                <w:rFonts w:cs="Times New Roman"/>
                <w:szCs w:val="20"/>
              </w:rPr>
              <w:t xml:space="preserve">FFS: Activation of TCI state(s) of target serving and/or candidate cell(s). </w:t>
            </w:r>
          </w:p>
          <w:p w14:paraId="114A64AF" w14:textId="514F1409" w:rsidR="00F75F67" w:rsidRPr="0014579E" w:rsidRDefault="00F75F67" w:rsidP="0014579E"/>
        </w:tc>
      </w:tr>
    </w:tbl>
    <w:p w14:paraId="3185B43B" w14:textId="77777777" w:rsidR="0093201F" w:rsidRDefault="0093201F" w:rsidP="00595F8C">
      <w:pPr>
        <w:spacing w:before="240"/>
        <w:jc w:val="both"/>
        <w:rPr>
          <w:rFonts w:cs="Times New Roman"/>
          <w:szCs w:val="20"/>
        </w:rPr>
      </w:pPr>
    </w:p>
    <w:p w14:paraId="5E06D11B" w14:textId="0E97723C" w:rsidR="002D0A58" w:rsidRDefault="00810D99" w:rsidP="001355D0">
      <w:pPr>
        <w:pStyle w:val="Heading1"/>
      </w:pPr>
      <w:r>
        <w:t>Discussion</w:t>
      </w:r>
    </w:p>
    <w:p w14:paraId="10CE9EE4" w14:textId="3DA661F3" w:rsidR="00264B86" w:rsidRDefault="001355D0" w:rsidP="00264B86">
      <w:pPr>
        <w:pStyle w:val="Heading2"/>
      </w:pPr>
      <w:r>
        <w:t>L1 measurement configuration</w:t>
      </w:r>
      <w:r w:rsidR="00EA77C6">
        <w:t xml:space="preserve"> and reporting</w:t>
      </w:r>
    </w:p>
    <w:p w14:paraId="1E1B48CD" w14:textId="6A5E341A" w:rsidR="00264B86" w:rsidRPr="00294F9F" w:rsidRDefault="00264B86" w:rsidP="00264B86">
      <w:r w:rsidRPr="00294F9F">
        <w:t xml:space="preserve">It has been agreed </w:t>
      </w:r>
      <w:r>
        <w:t xml:space="preserve">in RAN2 that </w:t>
      </w:r>
      <w:r w:rsidRPr="00294F9F">
        <w:t>a L1/L2 inter-cell mobility candidate (target) configuration is received within an RRC message before the L1/L2 dynamic switch is triggered</w:t>
      </w:r>
      <w:r w:rsidR="00D77DD8">
        <w:t>,</w:t>
      </w:r>
      <w:r w:rsidR="004B0835">
        <w:t xml:space="preserve"> as shown in</w:t>
      </w:r>
      <w:r>
        <w:t xml:space="preserve"> Figure 1</w:t>
      </w:r>
      <w:r w:rsidRPr="00294F9F">
        <w:t>. It has also been assumed in RAN2 that candidate cell configuration can only be modified</w:t>
      </w:r>
      <w:r w:rsidR="004B0835">
        <w:t>/</w:t>
      </w:r>
      <w:r w:rsidRPr="00294F9F">
        <w:t xml:space="preserve">released by Network, and subsequent LTM cell change between candidates without RRC reconfiguration can be supported. All of this implies </w:t>
      </w:r>
      <w:proofErr w:type="gramStart"/>
      <w:r w:rsidRPr="00294F9F">
        <w:t>some</w:t>
      </w:r>
      <w:proofErr w:type="gramEnd"/>
      <w:r w:rsidRPr="00294F9F">
        <w:t xml:space="preserve"> initial setup and maintenance of the LTM candidate set using RRC measurement reporting and RRC reconfiguration. As with any RRC reconfiguration, it is expected that the network may use UE measurement reporting to make decisions as to what cells are included in the candidate set, but it should also be possible for the network to blindly set up a candidate list. For example, the gNB may set up multiple candidates blindly (e.g.</w:t>
      </w:r>
      <w:r>
        <w:t>,</w:t>
      </w:r>
      <w:r w:rsidRPr="00294F9F">
        <w:t xml:space="preserve"> before they can be measured by the UE) or the gNB may setup candidates based on what has been reported.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64B86" w14:paraId="53E5BF20" w14:textId="77777777" w:rsidTr="0049525A">
        <w:tc>
          <w:tcPr>
            <w:tcW w:w="9350" w:type="dxa"/>
          </w:tcPr>
          <w:p w14:paraId="55AC73DD" w14:textId="2FE2004C" w:rsidR="00264B86" w:rsidRDefault="00264B86" w:rsidP="00264B86">
            <w:pPr>
              <w:keepNext/>
              <w:jc w:val="center"/>
              <w:rPr>
                <w:lang w:val="en-GB" w:eastAsia="zh-CN"/>
              </w:rPr>
            </w:pPr>
            <w:r>
              <w:rPr>
                <w:rFonts w:asciiTheme="minorHAnsi" w:hAnsiTheme="minorHAnsi" w:cstheme="minorHAnsi"/>
                <w:noProof/>
                <w:sz w:val="22"/>
              </w:rPr>
              <w:lastRenderedPageBreak/>
              <w:drawing>
                <wp:inline distT="0" distB="0" distL="0" distR="0" wp14:anchorId="0C323D01" wp14:editId="47ADF5EF">
                  <wp:extent cx="4094328" cy="1905347"/>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5532" cy="1910561"/>
                          </a:xfrm>
                          <a:prstGeom prst="rect">
                            <a:avLst/>
                          </a:prstGeom>
                          <a:noFill/>
                        </pic:spPr>
                      </pic:pic>
                    </a:graphicData>
                  </a:graphic>
                </wp:inline>
              </w:drawing>
            </w:r>
          </w:p>
        </w:tc>
      </w:tr>
    </w:tbl>
    <w:p w14:paraId="0E5DBCBC" w14:textId="64F5BBF7" w:rsidR="00264B86" w:rsidRPr="003572AA" w:rsidRDefault="00264B86" w:rsidP="00264B86">
      <w:pPr>
        <w:pStyle w:val="Caption"/>
        <w:rPr>
          <w:sz w:val="18"/>
          <w:szCs w:val="18"/>
          <w:lang w:val="en-GB" w:eastAsia="zh-CN"/>
        </w:rPr>
      </w:pPr>
      <w:r w:rsidRPr="003572AA">
        <w:rPr>
          <w:sz w:val="18"/>
          <w:szCs w:val="18"/>
        </w:rPr>
        <w:t xml:space="preserve">Figure </w:t>
      </w:r>
      <w:r w:rsidRPr="003572AA">
        <w:rPr>
          <w:sz w:val="18"/>
          <w:szCs w:val="18"/>
        </w:rPr>
        <w:fldChar w:fldCharType="begin"/>
      </w:r>
      <w:r w:rsidRPr="003572AA">
        <w:rPr>
          <w:sz w:val="18"/>
          <w:szCs w:val="18"/>
        </w:rPr>
        <w:instrText xml:space="preserve"> SEQ Figure \* ARABIC </w:instrText>
      </w:r>
      <w:r w:rsidRPr="003572AA">
        <w:rPr>
          <w:sz w:val="18"/>
          <w:szCs w:val="18"/>
        </w:rPr>
        <w:fldChar w:fldCharType="separate"/>
      </w:r>
      <w:r w:rsidRPr="003572AA">
        <w:rPr>
          <w:noProof/>
          <w:sz w:val="18"/>
          <w:szCs w:val="18"/>
        </w:rPr>
        <w:t>1</w:t>
      </w:r>
      <w:r w:rsidRPr="003572AA">
        <w:rPr>
          <w:sz w:val="18"/>
          <w:szCs w:val="18"/>
        </w:rPr>
        <w:fldChar w:fldCharType="end"/>
      </w:r>
      <w:r w:rsidR="004B0835" w:rsidRPr="003572AA">
        <w:rPr>
          <w:sz w:val="18"/>
          <w:szCs w:val="18"/>
        </w:rPr>
        <w:t xml:space="preserve"> </w:t>
      </w:r>
      <w:r w:rsidR="003572AA" w:rsidRPr="003572AA">
        <w:rPr>
          <w:sz w:val="18"/>
          <w:szCs w:val="18"/>
        </w:rPr>
        <w:t xml:space="preserve">Configuration </w:t>
      </w:r>
      <w:r w:rsidR="004B0835" w:rsidRPr="003572AA">
        <w:rPr>
          <w:sz w:val="18"/>
          <w:szCs w:val="18"/>
        </w:rPr>
        <w:t xml:space="preserve">phase </w:t>
      </w:r>
    </w:p>
    <w:p w14:paraId="24E1652D" w14:textId="0EA93710" w:rsidR="00BB172C" w:rsidRPr="00BB172C" w:rsidRDefault="00264B86" w:rsidP="00BB172C">
      <w:r>
        <w:t>Configuring LTM candidates in advance of being detected and reported by RRC provides a benefit in terms of being already (pre)configured</w:t>
      </w:r>
      <w:r w:rsidRPr="00876AA1">
        <w:t xml:space="preserve"> </w:t>
      </w:r>
      <w:r>
        <w:t xml:space="preserve">when the cell (or beams on the cell) become detectable, since no delay is added from performing RRC measurements and RRC reporting and reconfiguration. However, this approach does introduce </w:t>
      </w:r>
      <w:proofErr w:type="gramStart"/>
      <w:r>
        <w:t>some</w:t>
      </w:r>
      <w:proofErr w:type="gramEnd"/>
      <w:r>
        <w:t xml:space="preserve"> challenges. If L1 measurements are enabled for </w:t>
      </w:r>
      <w:r w:rsidR="00FF7A0B">
        <w:t>all</w:t>
      </w:r>
      <w:r>
        <w:t xml:space="preserve"> configured candidates, the associated overhead is large in terms of measurement configuration, measurement resource</w:t>
      </w:r>
      <w:r w:rsidR="00CB50C0">
        <w:t xml:space="preserve"> </w:t>
      </w:r>
      <w:r>
        <w:t xml:space="preserve">configuration, and reporting resources </w:t>
      </w:r>
      <w:r w:rsidR="00FF7A0B">
        <w:t xml:space="preserve">overhead. </w:t>
      </w:r>
      <w:r>
        <w:t xml:space="preserve">This implies a limit in terms of the </w:t>
      </w:r>
      <w:r w:rsidR="00CB50C0">
        <w:t>number</w:t>
      </w:r>
      <w:r>
        <w:t xml:space="preserve"> of candidates that can feasibly be preconfigured. </w:t>
      </w:r>
      <w:r w:rsidR="00BB172C" w:rsidRPr="00BB172C">
        <w:rPr>
          <w:rFonts w:cs="Times New Roman"/>
          <w:szCs w:val="20"/>
        </w:rPr>
        <w:t>Furthermore, if the LTM area includes cells controlled by multiple DU’s, provisioning all resources by RRC leads to complications at the network side if such resources are managed at DU level. This problem also exists for the configuration of TCI states.</w:t>
      </w:r>
    </w:p>
    <w:p w14:paraId="226DE3A6" w14:textId="7C1B7DEB" w:rsidR="001355D0" w:rsidRDefault="001355D0" w:rsidP="001355D0">
      <w:pPr>
        <w:rPr>
          <w:b/>
          <w:bCs/>
          <w:i/>
          <w:iCs/>
        </w:rPr>
      </w:pPr>
      <w:r w:rsidRPr="00B84D37">
        <w:rPr>
          <w:b/>
          <w:bCs/>
          <w:i/>
          <w:iCs/>
        </w:rPr>
        <w:t xml:space="preserve">Observation: RRC provisioning of L1 measurement resources is not scalable to </w:t>
      </w:r>
      <w:r>
        <w:rPr>
          <w:b/>
          <w:bCs/>
          <w:i/>
          <w:iCs/>
        </w:rPr>
        <w:t xml:space="preserve">LTM area spanning </w:t>
      </w:r>
      <w:proofErr w:type="gramStart"/>
      <w:r w:rsidRPr="00B84D37">
        <w:rPr>
          <w:b/>
          <w:bCs/>
          <w:i/>
          <w:iCs/>
        </w:rPr>
        <w:t>large number</w:t>
      </w:r>
      <w:proofErr w:type="gramEnd"/>
      <w:r w:rsidRPr="00B84D37">
        <w:rPr>
          <w:b/>
          <w:bCs/>
          <w:i/>
          <w:iCs/>
        </w:rPr>
        <w:t xml:space="preserve"> of cells.</w:t>
      </w:r>
    </w:p>
    <w:p w14:paraId="057E8DD3" w14:textId="5E36857E" w:rsidR="00943FFE" w:rsidRDefault="00BB172C" w:rsidP="009641F4">
      <w:r>
        <w:t>In order to allow sufficient candidates to be pre-configured</w:t>
      </w:r>
      <w:r w:rsidR="00AB0A13">
        <w:t xml:space="preserve"> while keeping measurements and the associated overhead minimized</w:t>
      </w:r>
      <w:r>
        <w:t xml:space="preserve">, </w:t>
      </w:r>
      <w:r w:rsidR="00AB0A13">
        <w:t xml:space="preserve">the number of candidate cells measured should be smaller than </w:t>
      </w:r>
      <w:r>
        <w:t>the number of stored candidate configurations</w:t>
      </w:r>
      <w:r w:rsidR="00AB0A13">
        <w:t xml:space="preserve">. </w:t>
      </w:r>
      <w:r w:rsidRPr="004A25E6">
        <w:t>An</w:t>
      </w:r>
      <w:r>
        <w:t xml:space="preserve"> </w:t>
      </w:r>
      <w:r w:rsidRPr="004A25E6">
        <w:t>option to limit the number of LTM candidates which are considered for measurement is to enable certain measurement configurations only when using a particular SpCell. That is, the network may pre-configure all</w:t>
      </w:r>
      <w:r w:rsidR="00AB0A13">
        <w:t xml:space="preserve"> </w:t>
      </w:r>
      <w:r w:rsidRPr="004A25E6">
        <w:t xml:space="preserve">measurement configurations which will be needed in all of the </w:t>
      </w:r>
      <w:r>
        <w:t xml:space="preserve">configured </w:t>
      </w:r>
      <w:r w:rsidRPr="004A25E6">
        <w:t>LTM candidates, but only the relevant ones should be in use at a particular time.</w:t>
      </w:r>
      <w:r w:rsidR="00943FFE">
        <w:t xml:space="preserve"> </w:t>
      </w:r>
    </w:p>
    <w:p w14:paraId="302D77C1" w14:textId="4F8C6219" w:rsidR="00943FFE" w:rsidRPr="009526BB" w:rsidRDefault="00943FFE" w:rsidP="00943FFE">
      <w:pPr>
        <w:rPr>
          <w:b/>
          <w:bCs/>
        </w:rPr>
      </w:pPr>
      <w:r w:rsidRPr="00943FFE">
        <w:rPr>
          <w:b/>
          <w:bCs/>
          <w:i/>
          <w:iCs/>
        </w:rPr>
        <w:t>Proposal 1: The maximum number of stored candidate configurations (configured in LTM preparation) can be larger than the number of candidate cells being actively measured</w:t>
      </w:r>
      <w:r w:rsidR="00A0727A">
        <w:rPr>
          <w:b/>
          <w:bCs/>
          <w:i/>
          <w:iCs/>
        </w:rPr>
        <w:t>.</w:t>
      </w:r>
      <w:r w:rsidRPr="00876AA1">
        <w:rPr>
          <w:b/>
          <w:bCs/>
        </w:rPr>
        <w:t xml:space="preserve"> </w:t>
      </w:r>
    </w:p>
    <w:p w14:paraId="0131B2A1" w14:textId="36457F95" w:rsidR="00943FFE" w:rsidRDefault="005A6DD9" w:rsidP="009641F4">
      <w:r>
        <w:t xml:space="preserve">Another discussion point in RAN1 has been whether to support CSI-RS </w:t>
      </w:r>
      <w:r w:rsidR="00A0727A">
        <w:t xml:space="preserve">based L1 measurement </w:t>
      </w:r>
      <w:r>
        <w:t>in addition to SSB</w:t>
      </w:r>
      <w:r w:rsidR="00A0727A">
        <w:t xml:space="preserve"> based measurement</w:t>
      </w:r>
      <w:r>
        <w:t xml:space="preserve">. As discussed above, </w:t>
      </w:r>
      <w:r w:rsidR="00A0727A">
        <w:t>s</w:t>
      </w:r>
      <w:r>
        <w:t xml:space="preserve">upporting CSI-RS </w:t>
      </w:r>
      <w:r w:rsidR="000B0FE1">
        <w:t xml:space="preserve">could </w:t>
      </w:r>
      <w:r>
        <w:t>significantly increase configuration</w:t>
      </w:r>
      <w:r w:rsidR="00A0727A">
        <w:t xml:space="preserve"> and </w:t>
      </w:r>
      <w:r>
        <w:t xml:space="preserve">measurement/reporting overhead and </w:t>
      </w:r>
      <w:r w:rsidR="000B0FE1">
        <w:t xml:space="preserve">UE </w:t>
      </w:r>
      <w:r>
        <w:t>complexity. In addition,</w:t>
      </w:r>
      <w:r w:rsidR="00A0727A">
        <w:t xml:space="preserve"> it is not clear whether the added complexity can be justified by</w:t>
      </w:r>
      <w:r>
        <w:t xml:space="preserve"> </w:t>
      </w:r>
      <w:r w:rsidR="00A0727A">
        <w:t xml:space="preserve">improved mobility performance (if any). </w:t>
      </w:r>
      <w:r>
        <w:t xml:space="preserve">Therefore, </w:t>
      </w:r>
      <w:r w:rsidR="00A0727A">
        <w:t xml:space="preserve">it would be appropriate to study </w:t>
      </w:r>
      <w:r w:rsidR="00C934F1">
        <w:t>SSB based</w:t>
      </w:r>
      <w:r w:rsidR="00A0727A">
        <w:t xml:space="preserve"> L1 measurement </w:t>
      </w:r>
      <w:r>
        <w:t>at this stage</w:t>
      </w:r>
      <w:r w:rsidR="00A0727A">
        <w:t xml:space="preserve"> and possibly consider CSI-RS as an optimization in </w:t>
      </w:r>
      <w:r w:rsidR="000B0FE1">
        <w:t>the</w:t>
      </w:r>
      <w:r w:rsidR="00A0727A">
        <w:t xml:space="preserve"> future</w:t>
      </w:r>
      <w:r w:rsidR="000B0FE1">
        <w:t>.</w:t>
      </w:r>
    </w:p>
    <w:p w14:paraId="5B6A9463" w14:textId="315CA4DD" w:rsidR="00943FFE" w:rsidRPr="005A6DD9" w:rsidRDefault="005A6DD9" w:rsidP="009641F4">
      <w:pPr>
        <w:rPr>
          <w:b/>
          <w:bCs/>
          <w:i/>
          <w:iCs/>
        </w:rPr>
      </w:pPr>
      <w:r w:rsidRPr="005A6DD9">
        <w:rPr>
          <w:b/>
          <w:bCs/>
          <w:i/>
          <w:iCs/>
        </w:rPr>
        <w:t xml:space="preserve">Proposal 2: </w:t>
      </w:r>
      <w:r>
        <w:rPr>
          <w:b/>
          <w:bCs/>
          <w:i/>
          <w:iCs/>
        </w:rPr>
        <w:t xml:space="preserve">CSI-RS </w:t>
      </w:r>
      <w:r w:rsidR="0034056F">
        <w:rPr>
          <w:b/>
          <w:bCs/>
          <w:i/>
          <w:iCs/>
        </w:rPr>
        <w:t xml:space="preserve">based L1 measurement for inter-cell beam management </w:t>
      </w:r>
      <w:r>
        <w:rPr>
          <w:b/>
          <w:bCs/>
          <w:i/>
          <w:iCs/>
        </w:rPr>
        <w:t xml:space="preserve">is not supported in Rel-18. </w:t>
      </w:r>
    </w:p>
    <w:p w14:paraId="06B3C7FD" w14:textId="4679D8D6" w:rsidR="009641F4" w:rsidRDefault="008009AD" w:rsidP="009641F4">
      <w:r>
        <w:t xml:space="preserve">Selection and consequent activation of a subset of the RRC configured candidate set can </w:t>
      </w:r>
      <w:r w:rsidR="007E7F6A">
        <w:t>be achieved by the UE detecting (</w:t>
      </w:r>
      <w:r w:rsidR="00C934F1">
        <w:t xml:space="preserve">possibly </w:t>
      </w:r>
      <w:r w:rsidR="009641F4">
        <w:t>autonomously</w:t>
      </w:r>
      <w:r w:rsidR="007E7F6A">
        <w:t>)</w:t>
      </w:r>
      <w:r w:rsidR="009641F4">
        <w:t xml:space="preserve"> and report</w:t>
      </w:r>
      <w:r w:rsidR="007E7F6A">
        <w:t>ing</w:t>
      </w:r>
      <w:r w:rsidR="009641F4">
        <w:t xml:space="preserve"> the strongest SSB</w:t>
      </w:r>
      <w:r w:rsidR="001A4F13">
        <w:t>s</w:t>
      </w:r>
      <w:r w:rsidR="009641F4">
        <w:t>. Such reporting would be best carried by MAC CE given the large amount of information to include in the report. One can also safely assume that autonomous detection of SSB is possible since L3 reporting relies on this, for both intra-frequency and inter-frequency measurements.</w:t>
      </w:r>
    </w:p>
    <w:p w14:paraId="3A0BDA00" w14:textId="09AFB47B" w:rsidR="009641F4" w:rsidRPr="009B50B0" w:rsidRDefault="009641F4" w:rsidP="009641F4">
      <w:pPr>
        <w:rPr>
          <w:b/>
          <w:bCs/>
          <w:i/>
          <w:iCs/>
        </w:rPr>
      </w:pPr>
      <w:r w:rsidRPr="009B50B0">
        <w:rPr>
          <w:b/>
          <w:bCs/>
          <w:i/>
          <w:iCs/>
        </w:rPr>
        <w:t xml:space="preserve">Proposal </w:t>
      </w:r>
      <w:r w:rsidR="008009AD">
        <w:rPr>
          <w:b/>
          <w:bCs/>
          <w:i/>
          <w:iCs/>
        </w:rPr>
        <w:t>3</w:t>
      </w:r>
      <w:r w:rsidRPr="009B50B0">
        <w:rPr>
          <w:b/>
          <w:bCs/>
          <w:i/>
          <w:iCs/>
        </w:rPr>
        <w:t>: Support reporting of strongest detected SSB resources in MAC CE.</w:t>
      </w:r>
    </w:p>
    <w:p w14:paraId="7A52F6AD" w14:textId="2A2526FF" w:rsidR="009641F4" w:rsidRDefault="009641F4" w:rsidP="009641F4">
      <w:r>
        <w:t>As the UE moves within the LTM area</w:t>
      </w:r>
      <w:r w:rsidR="004560DC">
        <w:t>,</w:t>
      </w:r>
      <w:r>
        <w:t xml:space="preserve"> the set of SSB resources relevant for inclusion in a set of L1 measurement resources or TCI state changes. The network needs to be informed relatively quickly at least when a new SSB </w:t>
      </w:r>
      <w:r>
        <w:lastRenderedPageBreak/>
        <w:t xml:space="preserve">resource is detected. One possibility is to configure the MAC CE to be transmitted periodically. However, this could result in </w:t>
      </w:r>
      <w:proofErr w:type="gramStart"/>
      <w:r>
        <w:t>large number</w:t>
      </w:r>
      <w:proofErr w:type="gramEnd"/>
      <w:r>
        <w:t xml:space="preserve"> of unnecessary transmissions when the UE is not moving. A </w:t>
      </w:r>
      <w:r w:rsidR="00CB335C">
        <w:t>more appropriate</w:t>
      </w:r>
      <w:r>
        <w:t xml:space="preserve"> principle is that the UE triggers transmission of the report when there is a change in the set of strongest detected SSB</w:t>
      </w:r>
      <w:r w:rsidR="003D0E36">
        <w:t xml:space="preserve">s. </w:t>
      </w:r>
    </w:p>
    <w:p w14:paraId="4462EEF0" w14:textId="0EECA838" w:rsidR="009641F4" w:rsidRPr="008A484A" w:rsidRDefault="009641F4" w:rsidP="001355D0">
      <w:pPr>
        <w:rPr>
          <w:b/>
          <w:bCs/>
          <w:i/>
          <w:iCs/>
        </w:rPr>
      </w:pPr>
      <w:r w:rsidRPr="00255727">
        <w:rPr>
          <w:b/>
          <w:bCs/>
          <w:i/>
          <w:iCs/>
        </w:rPr>
        <w:t xml:space="preserve">Proposal </w:t>
      </w:r>
      <w:r w:rsidR="008009AD">
        <w:rPr>
          <w:b/>
          <w:bCs/>
          <w:i/>
          <w:iCs/>
        </w:rPr>
        <w:t>4</w:t>
      </w:r>
      <w:r w:rsidRPr="00255727">
        <w:rPr>
          <w:b/>
          <w:bCs/>
          <w:i/>
          <w:iCs/>
        </w:rPr>
        <w:t xml:space="preserve">: Support triggering of MAC CE </w:t>
      </w:r>
      <w:r>
        <w:rPr>
          <w:b/>
          <w:bCs/>
          <w:i/>
          <w:iCs/>
        </w:rPr>
        <w:t xml:space="preserve">measurement </w:t>
      </w:r>
      <w:r w:rsidRPr="00255727">
        <w:rPr>
          <w:b/>
          <w:bCs/>
          <w:i/>
          <w:iCs/>
        </w:rPr>
        <w:t>report when there is a change in the set of strongest detected SSB resources.</w:t>
      </w:r>
    </w:p>
    <w:p w14:paraId="10E90884" w14:textId="669EA28B" w:rsidR="009641F4" w:rsidRDefault="009641F4" w:rsidP="001355D0">
      <w:r>
        <w:t>Th</w:t>
      </w:r>
      <w:r w:rsidR="00315A46">
        <w:t xml:space="preserve">e scheme outlined above </w:t>
      </w:r>
      <w:r>
        <w:t xml:space="preserve">is illustrated in Figure </w:t>
      </w:r>
      <w:r w:rsidR="00F4637B">
        <w:t>2</w:t>
      </w:r>
      <w:r>
        <w:t>.</w:t>
      </w:r>
    </w:p>
    <w:p w14:paraId="0943BCEF" w14:textId="77777777" w:rsidR="009641F4" w:rsidRPr="00002FED" w:rsidRDefault="009641F4" w:rsidP="001355D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002FED" w14:paraId="62A9AF16" w14:textId="77777777" w:rsidTr="0025453B">
        <w:tc>
          <w:tcPr>
            <w:tcW w:w="9350" w:type="dxa"/>
          </w:tcPr>
          <w:p w14:paraId="4A881C12" w14:textId="77777777" w:rsidR="00002FED" w:rsidRDefault="00002FED" w:rsidP="0053403F">
            <w:pPr>
              <w:keepNext/>
              <w:jc w:val="center"/>
              <w:rPr>
                <w:b/>
                <w:bCs/>
              </w:rPr>
            </w:pPr>
            <w:r w:rsidRPr="00002FED">
              <w:rPr>
                <w:b/>
                <w:bCs/>
                <w:noProof/>
              </w:rPr>
              <w:drawing>
                <wp:inline distT="0" distB="0" distL="0" distR="0" wp14:anchorId="1A9A5E2C" wp14:editId="060F2984">
                  <wp:extent cx="5676900" cy="26910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82791" cy="2693862"/>
                          </a:xfrm>
                          <a:prstGeom prst="rect">
                            <a:avLst/>
                          </a:prstGeom>
                        </pic:spPr>
                      </pic:pic>
                    </a:graphicData>
                  </a:graphic>
                </wp:inline>
              </w:drawing>
            </w:r>
          </w:p>
        </w:tc>
      </w:tr>
    </w:tbl>
    <w:p w14:paraId="31DC08F7" w14:textId="7234C5EA" w:rsidR="0027161A" w:rsidRPr="0027161A" w:rsidRDefault="009641F4" w:rsidP="0027161A">
      <w:pPr>
        <w:pStyle w:val="Caption"/>
        <w:rPr>
          <w:i/>
          <w:iCs/>
          <w:sz w:val="18"/>
          <w:szCs w:val="18"/>
        </w:rPr>
      </w:pPr>
      <w:r w:rsidRPr="009641F4">
        <w:rPr>
          <w:sz w:val="18"/>
          <w:szCs w:val="18"/>
        </w:rPr>
        <w:t xml:space="preserve">Figure </w:t>
      </w:r>
      <w:r w:rsidRPr="009641F4">
        <w:rPr>
          <w:sz w:val="18"/>
          <w:szCs w:val="18"/>
        </w:rPr>
        <w:fldChar w:fldCharType="begin"/>
      </w:r>
      <w:r w:rsidRPr="009641F4">
        <w:rPr>
          <w:sz w:val="18"/>
          <w:szCs w:val="18"/>
        </w:rPr>
        <w:instrText xml:space="preserve"> SEQ Figure \* ARABIC </w:instrText>
      </w:r>
      <w:r w:rsidRPr="009641F4">
        <w:rPr>
          <w:sz w:val="18"/>
          <w:szCs w:val="18"/>
        </w:rPr>
        <w:fldChar w:fldCharType="separate"/>
      </w:r>
      <w:r w:rsidR="00264B86">
        <w:rPr>
          <w:noProof/>
          <w:sz w:val="18"/>
          <w:szCs w:val="18"/>
        </w:rPr>
        <w:t>2</w:t>
      </w:r>
      <w:r w:rsidRPr="009641F4">
        <w:rPr>
          <w:sz w:val="18"/>
          <w:szCs w:val="18"/>
        </w:rPr>
        <w:fldChar w:fldCharType="end"/>
      </w:r>
      <w:r w:rsidR="00D77DD8">
        <w:rPr>
          <w:sz w:val="18"/>
          <w:szCs w:val="18"/>
        </w:rPr>
        <w:t xml:space="preserve"> L1 reporting timeline</w:t>
      </w:r>
    </w:p>
    <w:p w14:paraId="6DD0CA3D" w14:textId="5151D731" w:rsidR="00EA77C6" w:rsidRDefault="0027161A" w:rsidP="001355D0">
      <w:r>
        <w:t xml:space="preserve">To further reduce configuration overhead, we may allow </w:t>
      </w:r>
      <w:r w:rsidR="001355D0">
        <w:t xml:space="preserve">L1 measurement resources </w:t>
      </w:r>
      <w:r w:rsidR="00DD793C">
        <w:t xml:space="preserve">to </w:t>
      </w:r>
      <w:r>
        <w:t xml:space="preserve">be </w:t>
      </w:r>
      <w:r w:rsidR="001355D0">
        <w:t xml:space="preserve">configured without involving RRC </w:t>
      </w:r>
      <w:r w:rsidR="00DD793C">
        <w:t>signaling; signaling</w:t>
      </w:r>
      <w:r w:rsidR="001355D0">
        <w:t xml:space="preserve"> by MAC CE is an attractive </w:t>
      </w:r>
      <w:r w:rsidR="00DD793C">
        <w:t>option to achieve this</w:t>
      </w:r>
      <w:r w:rsidR="001355D0">
        <w:t>. For example, in the case of a CSI</w:t>
      </w:r>
      <w:r w:rsidR="00DD793C">
        <w:t>-</w:t>
      </w:r>
      <w:r w:rsidR="001355D0">
        <w:t>SSB resource set, the MAC CE can associate a CSI</w:t>
      </w:r>
      <w:r w:rsidR="00DD793C">
        <w:t>-</w:t>
      </w:r>
      <w:r w:rsidR="001355D0">
        <w:t>SSB resource set ID to a set of SSB resources, including respective SSB indices and associated PCI’s. The same solution could be applied for the configuration of TCI states that have SSB resources as QCL source.</w:t>
      </w:r>
    </w:p>
    <w:p w14:paraId="4C6CE10B" w14:textId="1282556A" w:rsidR="00EA77C6" w:rsidRDefault="00EA77C6" w:rsidP="00EA77C6">
      <w:pPr>
        <w:rPr>
          <w:b/>
          <w:bCs/>
          <w:i/>
          <w:iCs/>
        </w:rPr>
      </w:pPr>
      <w:r w:rsidRPr="009B50B0">
        <w:rPr>
          <w:b/>
          <w:bCs/>
          <w:i/>
          <w:iCs/>
        </w:rPr>
        <w:t xml:space="preserve">Proposal </w:t>
      </w:r>
      <w:r w:rsidR="00A539DD">
        <w:rPr>
          <w:b/>
          <w:bCs/>
          <w:i/>
          <w:iCs/>
        </w:rPr>
        <w:t>5</w:t>
      </w:r>
      <w:r w:rsidRPr="009B50B0">
        <w:rPr>
          <w:b/>
          <w:bCs/>
          <w:i/>
          <w:iCs/>
        </w:rPr>
        <w:t>: Support association of SSB resource to a CSI</w:t>
      </w:r>
      <w:r w:rsidR="00DD793C">
        <w:rPr>
          <w:b/>
          <w:bCs/>
          <w:i/>
          <w:iCs/>
        </w:rPr>
        <w:t>-</w:t>
      </w:r>
      <w:r w:rsidRPr="009B50B0">
        <w:rPr>
          <w:b/>
          <w:bCs/>
          <w:i/>
          <w:iCs/>
        </w:rPr>
        <w:t>SSB resource set by MAC CE.</w:t>
      </w:r>
    </w:p>
    <w:p w14:paraId="2954C8C7" w14:textId="3C9B9B1C" w:rsidR="00082DD7" w:rsidRPr="00F700B1" w:rsidRDefault="00EA77C6" w:rsidP="00EA77C6">
      <w:pPr>
        <w:rPr>
          <w:b/>
          <w:bCs/>
          <w:i/>
          <w:iCs/>
        </w:rPr>
      </w:pPr>
      <w:r>
        <w:rPr>
          <w:b/>
          <w:bCs/>
          <w:i/>
          <w:iCs/>
        </w:rPr>
        <w:t xml:space="preserve">Proposal </w:t>
      </w:r>
      <w:r w:rsidR="00A539DD">
        <w:rPr>
          <w:b/>
          <w:bCs/>
          <w:i/>
          <w:iCs/>
        </w:rPr>
        <w:t>6</w:t>
      </w:r>
      <w:r>
        <w:rPr>
          <w:b/>
          <w:bCs/>
          <w:i/>
          <w:iCs/>
        </w:rPr>
        <w:t>: Support association of SSB resource to a TCI state by MAC CE.</w:t>
      </w:r>
    </w:p>
    <w:p w14:paraId="6AF416A8" w14:textId="616FAAB0" w:rsidR="007B4C6F" w:rsidRDefault="007B4C6F" w:rsidP="007B4C6F">
      <w:r>
        <w:t>In RAN1 #111, configuration of</w:t>
      </w:r>
      <w:r w:rsidR="00082DD7">
        <w:t xml:space="preserve"> L1</w:t>
      </w:r>
      <w:r>
        <w:t xml:space="preserve"> measurement was discussed </w:t>
      </w:r>
      <w:r w:rsidR="00082DD7">
        <w:t>and the following four options were considered</w:t>
      </w:r>
      <w:r w:rsidR="00743BB8">
        <w:t>, without an agreement.</w:t>
      </w:r>
    </w:p>
    <w:tbl>
      <w:tblPr>
        <w:tblStyle w:val="TableGrid"/>
        <w:tblW w:w="0" w:type="auto"/>
        <w:tblLook w:val="04A0" w:firstRow="1" w:lastRow="0" w:firstColumn="1" w:lastColumn="0" w:noHBand="0" w:noVBand="1"/>
      </w:tblPr>
      <w:tblGrid>
        <w:gridCol w:w="9350"/>
      </w:tblGrid>
      <w:tr w:rsidR="007B4C6F" w14:paraId="2FD72B43" w14:textId="77777777" w:rsidTr="007B4C6F">
        <w:tc>
          <w:tcPr>
            <w:tcW w:w="9350" w:type="dxa"/>
          </w:tcPr>
          <w:p w14:paraId="12CE8126" w14:textId="77777777" w:rsidR="007B4C6F" w:rsidRPr="007B4C6F" w:rsidRDefault="007B4C6F" w:rsidP="007B4C6F">
            <w:pPr>
              <w:numPr>
                <w:ilvl w:val="0"/>
                <w:numId w:val="26"/>
              </w:numPr>
              <w:tabs>
                <w:tab w:val="num" w:pos="720"/>
              </w:tabs>
            </w:pPr>
            <w:r w:rsidRPr="007B4C6F">
              <w:rPr>
                <w:lang w:val="en-GB"/>
              </w:rPr>
              <w:t>For Rel-18 LTM, further study the following structure for L1 measurement configurations.</w:t>
            </w:r>
          </w:p>
          <w:p w14:paraId="173D4F65" w14:textId="77777777" w:rsidR="007B4C6F" w:rsidRPr="007B4C6F" w:rsidRDefault="007B4C6F" w:rsidP="007B4C6F">
            <w:pPr>
              <w:numPr>
                <w:ilvl w:val="1"/>
                <w:numId w:val="26"/>
              </w:numPr>
              <w:tabs>
                <w:tab w:val="num" w:pos="1440"/>
              </w:tabs>
            </w:pPr>
            <w:r w:rsidRPr="007B4C6F">
              <w:rPr>
                <w:lang w:val="en-GB"/>
              </w:rPr>
              <w:t>Option-1: Based on CSI measurement configuration specified in Rel-17 ICBM</w:t>
            </w:r>
          </w:p>
          <w:p w14:paraId="68AA9A7D" w14:textId="5B00F91B" w:rsidR="007B4C6F" w:rsidRPr="007B4C6F" w:rsidRDefault="007B4C6F" w:rsidP="007B4C6F">
            <w:pPr>
              <w:numPr>
                <w:ilvl w:val="1"/>
                <w:numId w:val="26"/>
              </w:numPr>
              <w:tabs>
                <w:tab w:val="num" w:pos="1440"/>
              </w:tabs>
            </w:pPr>
            <w:r w:rsidRPr="007B4C6F">
              <w:rPr>
                <w:lang w:val="en-GB"/>
              </w:rPr>
              <w:t>Option-2: Introduce an independent a measurement configuration for candidate cell(s) [and serving cell] from serving cell configurations, which, and the measurement configuration is decoupled with serving cell configuration.</w:t>
            </w:r>
          </w:p>
          <w:p w14:paraId="29405C62" w14:textId="77777777" w:rsidR="007B4C6F" w:rsidRPr="007B4C6F" w:rsidRDefault="007B4C6F" w:rsidP="007B4C6F">
            <w:pPr>
              <w:numPr>
                <w:ilvl w:val="1"/>
                <w:numId w:val="26"/>
              </w:numPr>
              <w:tabs>
                <w:tab w:val="num" w:pos="1440"/>
              </w:tabs>
            </w:pPr>
            <w:r w:rsidRPr="007B4C6F">
              <w:rPr>
                <w:lang w:val="en-GB"/>
              </w:rPr>
              <w:t>Option-3: Use measurement configuration for each candidate cell</w:t>
            </w:r>
          </w:p>
          <w:p w14:paraId="5F934551" w14:textId="477CE554" w:rsidR="007B4C6F" w:rsidRDefault="007B4C6F" w:rsidP="00082DD7">
            <w:pPr>
              <w:numPr>
                <w:ilvl w:val="1"/>
                <w:numId w:val="26"/>
              </w:numPr>
              <w:tabs>
                <w:tab w:val="num" w:pos="1440"/>
              </w:tabs>
            </w:pPr>
            <w:r w:rsidRPr="007B4C6F">
              <w:rPr>
                <w:lang w:val="en-GB"/>
              </w:rPr>
              <w:t xml:space="preserve">Option-4: Do not include RS information or cell information in measurement configurations </w:t>
            </w:r>
          </w:p>
        </w:tc>
      </w:tr>
    </w:tbl>
    <w:p w14:paraId="3740F41A" w14:textId="77777777" w:rsidR="007B4C6F" w:rsidRDefault="007B4C6F" w:rsidP="007B4C6F"/>
    <w:p w14:paraId="2B104949" w14:textId="3A83F9D1" w:rsidR="007B4C6F" w:rsidRDefault="00743BB8" w:rsidP="007B4C6F">
      <w:r>
        <w:lastRenderedPageBreak/>
        <w:t>Out of these options, O</w:t>
      </w:r>
      <w:r w:rsidR="007B4C6F">
        <w:t>ption</w:t>
      </w:r>
      <w:r>
        <w:t>-1</w:t>
      </w:r>
      <w:r w:rsidR="007B4C6F">
        <w:t xml:space="preserve"> </w:t>
      </w:r>
      <w:r>
        <w:t>pro</w:t>
      </w:r>
      <w:r w:rsidR="00270852">
        <w:t>vides</w:t>
      </w:r>
      <w:r>
        <w:t xml:space="preserve"> the most </w:t>
      </w:r>
      <w:r w:rsidR="007B4C6F">
        <w:t xml:space="preserve">straightforward </w:t>
      </w:r>
      <w:r>
        <w:t xml:space="preserve">solution (with small spec impact) </w:t>
      </w:r>
      <w:r w:rsidR="007B4C6F">
        <w:t xml:space="preserve">and is an extension of the ICBM framework. </w:t>
      </w:r>
      <w:r>
        <w:t xml:space="preserve">In this option, frequency information (ARFCN) can simply be added to the cell configuration. On the other hand, options 2 and 3 are expected to have larger spec impact and result in a more cumbersome configuration design. </w:t>
      </w:r>
    </w:p>
    <w:p w14:paraId="725E0A08" w14:textId="389A4C41" w:rsidR="00E768F9" w:rsidRDefault="007B4C6F" w:rsidP="007B4C6F">
      <w:pPr>
        <w:spacing w:after="0" w:line="240" w:lineRule="auto"/>
        <w:rPr>
          <w:b/>
          <w:bCs/>
          <w:i/>
          <w:iCs/>
          <w:lang w:val="en-GB"/>
        </w:rPr>
      </w:pPr>
      <w:r w:rsidRPr="007B4C6F">
        <w:rPr>
          <w:b/>
          <w:bCs/>
          <w:i/>
          <w:iCs/>
        </w:rPr>
        <w:t xml:space="preserve">Proposal </w:t>
      </w:r>
      <w:r w:rsidR="00B07A0F">
        <w:rPr>
          <w:b/>
          <w:bCs/>
          <w:i/>
          <w:iCs/>
        </w:rPr>
        <w:t>7</w:t>
      </w:r>
      <w:r w:rsidRPr="007B4C6F">
        <w:rPr>
          <w:b/>
          <w:bCs/>
          <w:i/>
          <w:iCs/>
        </w:rPr>
        <w:t xml:space="preserve">: </w:t>
      </w:r>
      <w:r w:rsidRPr="007B4C6F">
        <w:rPr>
          <w:b/>
          <w:bCs/>
          <w:i/>
          <w:iCs/>
          <w:lang w:val="en-GB"/>
        </w:rPr>
        <w:t>L1 measurement configuration is based on CSI measurement configuration specified in Rel-17 ICBM.</w:t>
      </w:r>
    </w:p>
    <w:p w14:paraId="03AB5BFB" w14:textId="075E13AD" w:rsidR="00E768F9" w:rsidRPr="00270852" w:rsidRDefault="00E768F9" w:rsidP="00F700B1">
      <w:pPr>
        <w:pStyle w:val="Heading3"/>
      </w:pPr>
      <w:r>
        <w:t>Reporting of inter-frequency measurements</w:t>
      </w:r>
    </w:p>
    <w:p w14:paraId="2F00469A" w14:textId="27B90596" w:rsidR="007B4C6F" w:rsidRDefault="00B97F9B" w:rsidP="007B4C6F">
      <w:r>
        <w:t>In RAN1</w:t>
      </w:r>
      <w:r w:rsidR="00DE6BC1">
        <w:t xml:space="preserve"> </w:t>
      </w:r>
      <w:r>
        <w:t>#111, RAN1 agreed to support gNB-scheduled L1 measurement reporting by UCI, and further that in a single report instance, report for serving cell and candidate cell(s) for intra-frequency and/or inter-frequency can be included.</w:t>
      </w:r>
    </w:p>
    <w:p w14:paraId="174ACCA2" w14:textId="621C2647" w:rsidR="00B97F9B" w:rsidRDefault="003F366F" w:rsidP="007B4C6F">
      <w:r>
        <w:t>R</w:t>
      </w:r>
      <w:r w:rsidR="00B97F9B">
        <w:t>eporting for a variable number of L1-RSRP measurements for different beams/cells can be supported by e.g.</w:t>
      </w:r>
      <w:r w:rsidR="00DE6BC1">
        <w:t>,</w:t>
      </w:r>
      <w:r w:rsidR="00B97F9B">
        <w:t xml:space="preserve"> including information on the number of reported measurements</w:t>
      </w:r>
      <w:r w:rsidR="00996BCB">
        <w:t>, which frequencies,</w:t>
      </w:r>
      <w:r w:rsidR="00B97F9B">
        <w:t xml:space="preserve"> and one measurement result in CSI part 1, and the remaining measurement results in CSI part 2. However, given that there </w:t>
      </w:r>
      <w:r w:rsidR="006C2580">
        <w:t>are</w:t>
      </w:r>
      <w:r w:rsidR="00B97F9B">
        <w:t xml:space="preserve"> typically </w:t>
      </w:r>
      <w:proofErr w:type="gramStart"/>
      <w:r w:rsidR="006C2580">
        <w:t>many</w:t>
      </w:r>
      <w:proofErr w:type="gramEnd"/>
      <w:r w:rsidR="00B97F9B">
        <w:t xml:space="preserve"> beams/cells that can be </w:t>
      </w:r>
      <w:r>
        <w:t>measured,</w:t>
      </w:r>
      <w:r w:rsidR="00B97F9B">
        <w:t xml:space="preserve"> and that CSI payload is limited, it is necessary to specify rules to report only the relevant results for mobility.</w:t>
      </w:r>
    </w:p>
    <w:p w14:paraId="29E73055" w14:textId="3AD8E0A4" w:rsidR="00996BCB" w:rsidRDefault="003F366F" w:rsidP="007B4C6F">
      <w:r>
        <w:t xml:space="preserve">The UE should always indicate results for resource(s) on same frequency as the serving cell since the network may prioritize intra-frequency mobility. For resources on </w:t>
      </w:r>
      <w:r w:rsidR="00996BCB">
        <w:t>different frequencies (inter-frequency), the information may only be useful if the best result on a frequency is higher than a threshold relative to the best intra-frequency result. In addition, when the best intra-frequency result is sufficiently high it is typically not necessary to report for other frequencies.</w:t>
      </w:r>
    </w:p>
    <w:p w14:paraId="2D2EC759" w14:textId="6EF854A0" w:rsidR="00996BCB" w:rsidRPr="00F700B1" w:rsidRDefault="00996BCB" w:rsidP="007B4C6F">
      <w:pPr>
        <w:rPr>
          <w:b/>
          <w:bCs/>
          <w:i/>
          <w:iCs/>
        </w:rPr>
      </w:pPr>
      <w:r w:rsidRPr="00F700B1">
        <w:rPr>
          <w:b/>
          <w:bCs/>
          <w:i/>
          <w:iCs/>
        </w:rPr>
        <w:t xml:space="preserve">Proposal </w:t>
      </w:r>
      <w:r w:rsidR="00B07A0F" w:rsidRPr="00F700B1">
        <w:rPr>
          <w:b/>
          <w:bCs/>
          <w:i/>
          <w:iCs/>
        </w:rPr>
        <w:t>8</w:t>
      </w:r>
      <w:r w:rsidRPr="00F700B1">
        <w:rPr>
          <w:b/>
          <w:bCs/>
          <w:i/>
          <w:iCs/>
        </w:rPr>
        <w:t xml:space="preserve">: Support that inter-frequency L1 measurement results </w:t>
      </w:r>
      <w:r w:rsidR="006C2580" w:rsidRPr="00F700B1">
        <w:rPr>
          <w:b/>
          <w:bCs/>
          <w:i/>
          <w:iCs/>
        </w:rPr>
        <w:t>are</w:t>
      </w:r>
      <w:r w:rsidRPr="00F700B1">
        <w:rPr>
          <w:b/>
          <w:bCs/>
          <w:i/>
          <w:iCs/>
        </w:rPr>
        <w:t xml:space="preserve"> included in a L1 report under a condition that the best result on the frequency is higher than a threshold relative to best intra-frequency result.</w:t>
      </w:r>
    </w:p>
    <w:p w14:paraId="4F93096E" w14:textId="1F40B122" w:rsidR="00996BCB" w:rsidRPr="00F700B1" w:rsidRDefault="00996BCB" w:rsidP="007B4C6F">
      <w:pPr>
        <w:rPr>
          <w:b/>
          <w:bCs/>
          <w:i/>
          <w:iCs/>
        </w:rPr>
      </w:pPr>
      <w:r w:rsidRPr="00F700B1">
        <w:rPr>
          <w:b/>
          <w:bCs/>
          <w:i/>
          <w:iCs/>
        </w:rPr>
        <w:t xml:space="preserve">Proposal </w:t>
      </w:r>
      <w:r w:rsidR="00B07A0F" w:rsidRPr="00F700B1">
        <w:rPr>
          <w:b/>
          <w:bCs/>
          <w:i/>
          <w:iCs/>
        </w:rPr>
        <w:t>9</w:t>
      </w:r>
      <w:r w:rsidRPr="00F700B1">
        <w:rPr>
          <w:b/>
          <w:bCs/>
          <w:i/>
          <w:iCs/>
        </w:rPr>
        <w:t xml:space="preserve">: Support that inter-frequency L1 measurement results </w:t>
      </w:r>
      <w:r w:rsidR="006C2580" w:rsidRPr="00F700B1">
        <w:rPr>
          <w:b/>
          <w:bCs/>
          <w:i/>
          <w:iCs/>
        </w:rPr>
        <w:t>are</w:t>
      </w:r>
      <w:r w:rsidRPr="00F700B1">
        <w:rPr>
          <w:b/>
          <w:bCs/>
          <w:i/>
          <w:iCs/>
        </w:rPr>
        <w:t xml:space="preserve"> included in a L1 report under a condition that the best intra-frequency result is lower than a threshold.</w:t>
      </w:r>
    </w:p>
    <w:p w14:paraId="7B6E7C6F" w14:textId="77777777" w:rsidR="000A6EB0" w:rsidRDefault="000A6EB0" w:rsidP="007B4C6F">
      <w:r>
        <w:t>For identifying a resource in the report, the two following options could be considered:</w:t>
      </w:r>
    </w:p>
    <w:p w14:paraId="3C19E9D6" w14:textId="0C0057E4" w:rsidR="00996BCB" w:rsidRPr="00B07A0F" w:rsidRDefault="000A6EB0" w:rsidP="000A6EB0">
      <w:pPr>
        <w:pStyle w:val="ListParagraph"/>
        <w:numPr>
          <w:ilvl w:val="0"/>
          <w:numId w:val="35"/>
        </w:numPr>
        <w:rPr>
          <w:rFonts w:ascii="Times New Roman" w:hAnsi="Times New Roman" w:cs="Times New Roman"/>
          <w:sz w:val="20"/>
          <w:szCs w:val="20"/>
        </w:rPr>
      </w:pPr>
      <w:r w:rsidRPr="00B07A0F">
        <w:rPr>
          <w:rFonts w:ascii="Times New Roman" w:hAnsi="Times New Roman" w:cs="Times New Roman"/>
          <w:sz w:val="20"/>
          <w:szCs w:val="20"/>
        </w:rPr>
        <w:t>Report a SSBRI (or CRI) indicating a resource out of a single set of resources where each individual resource can be configured with frequency identity (e.g.</w:t>
      </w:r>
      <w:r w:rsidR="00DE6BC1">
        <w:rPr>
          <w:rFonts w:ascii="Times New Roman" w:hAnsi="Times New Roman" w:cs="Times New Roman"/>
          <w:sz w:val="20"/>
          <w:szCs w:val="20"/>
        </w:rPr>
        <w:t>,</w:t>
      </w:r>
      <w:r w:rsidRPr="00B07A0F">
        <w:rPr>
          <w:rFonts w:ascii="Times New Roman" w:hAnsi="Times New Roman" w:cs="Times New Roman"/>
          <w:sz w:val="20"/>
          <w:szCs w:val="20"/>
        </w:rPr>
        <w:t xml:space="preserve"> ARFCN)</w:t>
      </w:r>
    </w:p>
    <w:p w14:paraId="444DF23D" w14:textId="4B00AC91" w:rsidR="000A6EB0" w:rsidRPr="00B07A0F" w:rsidRDefault="000A6EB0" w:rsidP="000A6EB0">
      <w:pPr>
        <w:pStyle w:val="ListParagraph"/>
        <w:numPr>
          <w:ilvl w:val="0"/>
          <w:numId w:val="35"/>
        </w:numPr>
        <w:rPr>
          <w:rFonts w:ascii="Times New Roman" w:hAnsi="Times New Roman" w:cs="Times New Roman"/>
          <w:sz w:val="20"/>
          <w:szCs w:val="20"/>
        </w:rPr>
      </w:pPr>
      <w:r w:rsidRPr="00B07A0F">
        <w:rPr>
          <w:rFonts w:ascii="Times New Roman" w:hAnsi="Times New Roman" w:cs="Times New Roman"/>
          <w:sz w:val="20"/>
          <w:szCs w:val="20"/>
        </w:rPr>
        <w:t>Report the identity of a set of resources and the identity of a resource within the set (SSBRI or CRI), where a set of resources is configured with frequency identity.</w:t>
      </w:r>
    </w:p>
    <w:p w14:paraId="73E914C8" w14:textId="4E27E08A" w:rsidR="000A6EB0" w:rsidRDefault="000A6EB0" w:rsidP="000A6EB0">
      <w:r>
        <w:t xml:space="preserve">Option (a) extends the ICBM solution by associating an ARFCN in addition to a PCI. Option (b) implies configuration of separate resource sets for different frequencies. Since in </w:t>
      </w:r>
      <w:proofErr w:type="gramStart"/>
      <w:r>
        <w:t>many</w:t>
      </w:r>
      <w:proofErr w:type="gramEnd"/>
      <w:r>
        <w:t xml:space="preserve"> cases reporting for inter-frequencies is not required, option (a) may result in unnecessary overhead since it would likely require additional bits for each SSBRI or CRI. On the other hand, option (b) may only require a few bits indicating whether results are present for each frequency (resource set) in the CSI part 1. Therefore, option (b) is preferred.</w:t>
      </w:r>
    </w:p>
    <w:p w14:paraId="6ADDE80B" w14:textId="59EE7E26" w:rsidR="000A6EB0" w:rsidRPr="00B07A0F" w:rsidRDefault="000A6EB0" w:rsidP="000A6EB0">
      <w:pPr>
        <w:rPr>
          <w:b/>
          <w:bCs/>
          <w:i/>
          <w:iCs/>
        </w:rPr>
      </w:pPr>
      <w:r w:rsidRPr="00B07A0F">
        <w:rPr>
          <w:b/>
          <w:bCs/>
          <w:i/>
          <w:iCs/>
        </w:rPr>
        <w:t xml:space="preserve">Proposal </w:t>
      </w:r>
      <w:r w:rsidR="00B07A0F" w:rsidRPr="00B07A0F">
        <w:rPr>
          <w:b/>
          <w:bCs/>
          <w:i/>
          <w:iCs/>
        </w:rPr>
        <w:t>10</w:t>
      </w:r>
      <w:r w:rsidRPr="00B07A0F">
        <w:rPr>
          <w:b/>
          <w:bCs/>
          <w:i/>
          <w:iCs/>
        </w:rPr>
        <w:t xml:space="preserve">: RRC configures </w:t>
      </w:r>
      <w:r w:rsidR="006C2580" w:rsidRPr="00B07A0F">
        <w:rPr>
          <w:b/>
          <w:bCs/>
          <w:i/>
          <w:iCs/>
        </w:rPr>
        <w:t xml:space="preserve">a separate set of </w:t>
      </w:r>
      <w:r w:rsidRPr="00B07A0F">
        <w:rPr>
          <w:b/>
          <w:bCs/>
          <w:i/>
          <w:iCs/>
        </w:rPr>
        <w:t xml:space="preserve">resources for channel measurement </w:t>
      </w:r>
      <w:r w:rsidR="006C2580" w:rsidRPr="00B07A0F">
        <w:rPr>
          <w:b/>
          <w:bCs/>
          <w:i/>
          <w:iCs/>
        </w:rPr>
        <w:t>for each frequency.</w:t>
      </w:r>
    </w:p>
    <w:p w14:paraId="6BF6BF97" w14:textId="215BB5D7" w:rsidR="00D54E1B" w:rsidRPr="00E757DA" w:rsidRDefault="006C2580" w:rsidP="007B4C6F">
      <w:pPr>
        <w:rPr>
          <w:b/>
          <w:bCs/>
          <w:i/>
          <w:iCs/>
        </w:rPr>
      </w:pPr>
      <w:r w:rsidRPr="00B07A0F">
        <w:rPr>
          <w:b/>
          <w:bCs/>
          <w:i/>
          <w:iCs/>
        </w:rPr>
        <w:t xml:space="preserve">Proposal </w:t>
      </w:r>
      <w:r w:rsidR="00B07A0F" w:rsidRPr="00B07A0F">
        <w:rPr>
          <w:b/>
          <w:bCs/>
          <w:i/>
          <w:iCs/>
        </w:rPr>
        <w:t>11</w:t>
      </w:r>
      <w:r w:rsidRPr="00B07A0F">
        <w:rPr>
          <w:b/>
          <w:bCs/>
          <w:i/>
          <w:iCs/>
        </w:rPr>
        <w:t>: L1 measurement report indicates which set(s) of inter-frequencies are included.</w:t>
      </w:r>
    </w:p>
    <w:p w14:paraId="661FC75C" w14:textId="0F5DCBFA" w:rsidR="00EA77C6" w:rsidRDefault="00EA77C6" w:rsidP="00F700B1">
      <w:pPr>
        <w:pStyle w:val="Heading3"/>
      </w:pPr>
      <w:r w:rsidRPr="00EA77C6">
        <w:t xml:space="preserve">Event </w:t>
      </w:r>
      <w:r w:rsidR="006D42FE">
        <w:t xml:space="preserve">triggered </w:t>
      </w:r>
      <w:r w:rsidRPr="00EA77C6">
        <w:t>report</w:t>
      </w:r>
    </w:p>
    <w:p w14:paraId="0A9067AE" w14:textId="049EBAD0" w:rsidR="00BE4603" w:rsidRPr="00E310B0" w:rsidRDefault="00B97E4C" w:rsidP="00E310B0">
      <w:r w:rsidRPr="00E310B0">
        <w:t xml:space="preserve">Currently only L3 measurements support cell detection based on </w:t>
      </w:r>
      <w:r w:rsidR="00E757DA" w:rsidRPr="00E310B0">
        <w:t>e.g.,</w:t>
      </w:r>
      <w:r w:rsidRPr="00E310B0">
        <w:t xml:space="preserve"> a provided carrier frequency</w:t>
      </w:r>
      <w:r w:rsidR="00BE4603" w:rsidRPr="00E310B0">
        <w:t>, and currently only L3 measurements support event trigged report</w:t>
      </w:r>
      <w:r w:rsidRPr="00E310B0">
        <w:t xml:space="preserve">. Since </w:t>
      </w:r>
      <w:r w:rsidR="00BE4603" w:rsidRPr="00E310B0">
        <w:t>it has already been c</w:t>
      </w:r>
      <w:r w:rsidRPr="00E310B0">
        <w:t xml:space="preserve">onfirmed that L3 reporting is not efficient enough to support LTM execution, </w:t>
      </w:r>
      <w:r w:rsidR="00BE4603" w:rsidRPr="00E310B0">
        <w:t>e.g.</w:t>
      </w:r>
      <w:r w:rsidR="00E757DA" w:rsidRPr="00E310B0">
        <w:t>,</w:t>
      </w:r>
      <w:r w:rsidR="00BE4603" w:rsidRPr="00E310B0">
        <w:t xml:space="preserve"> due to relatively long filtering delay and reporting delay, </w:t>
      </w:r>
      <w:r w:rsidRPr="00E310B0">
        <w:t xml:space="preserve">this implies a solution is needed at L1/2 to perform cell </w:t>
      </w:r>
      <w:r w:rsidR="00E757DA" w:rsidRPr="00E310B0">
        <w:t>detection and</w:t>
      </w:r>
      <w:r w:rsidRPr="00E310B0">
        <w:t xml:space="preserve"> </w:t>
      </w:r>
      <w:r w:rsidR="00E757DA" w:rsidRPr="00E310B0">
        <w:t>signaling</w:t>
      </w:r>
      <w:r w:rsidRPr="00E310B0">
        <w:t xml:space="preserve"> needs to be introduced at L1/2 to report detected cells and control the active CSI reporting configurations, in order to improve the mobility latency while keeping </w:t>
      </w:r>
      <w:r w:rsidR="00BE4603" w:rsidRPr="00E310B0">
        <w:t>CSI</w:t>
      </w:r>
      <w:r w:rsidRPr="00E310B0">
        <w:t xml:space="preserve"> </w:t>
      </w:r>
      <w:r w:rsidR="00BE4603" w:rsidRPr="00E310B0">
        <w:t>reporting</w:t>
      </w:r>
      <w:r w:rsidRPr="00E310B0">
        <w:t xml:space="preserve"> overhead to a reasonable level. </w:t>
      </w:r>
    </w:p>
    <w:p w14:paraId="7E38652A" w14:textId="3B93FAE0" w:rsidR="00BE4603" w:rsidRPr="00957A7C" w:rsidRDefault="00BE4603" w:rsidP="00E310B0">
      <w:pPr>
        <w:rPr>
          <w:b/>
          <w:bCs/>
          <w:i/>
          <w:iCs/>
        </w:rPr>
      </w:pPr>
      <w:r w:rsidRPr="00957A7C">
        <w:rPr>
          <w:b/>
          <w:bCs/>
          <w:i/>
          <w:iCs/>
        </w:rPr>
        <w:lastRenderedPageBreak/>
        <w:t xml:space="preserve">Proposal </w:t>
      </w:r>
      <w:r w:rsidR="00EB4198" w:rsidRPr="00957A7C">
        <w:rPr>
          <w:b/>
          <w:bCs/>
          <w:i/>
          <w:iCs/>
        </w:rPr>
        <w:t>1</w:t>
      </w:r>
      <w:r w:rsidR="00E757DA" w:rsidRPr="00957A7C">
        <w:rPr>
          <w:b/>
          <w:bCs/>
          <w:i/>
          <w:iCs/>
        </w:rPr>
        <w:t>2</w:t>
      </w:r>
      <w:r w:rsidRPr="00957A7C">
        <w:rPr>
          <w:b/>
          <w:bCs/>
          <w:i/>
          <w:iCs/>
        </w:rPr>
        <w:t xml:space="preserve">: L1 UE triggered reporting is supported at least for reporting detected cells on a carrier. </w:t>
      </w:r>
    </w:p>
    <w:p w14:paraId="71D4372C" w14:textId="3D7C4749" w:rsidR="00BE4603" w:rsidRPr="00E310B0" w:rsidRDefault="00BE4603" w:rsidP="00E310B0">
      <w:r w:rsidRPr="00E310B0">
        <w:t xml:space="preserve">Since MAC CE is transmitted on PUSCH, this would be the most reasonable choice for transmission of </w:t>
      </w:r>
      <w:r w:rsidR="00E757DA" w:rsidRPr="00E310B0">
        <w:t>a</w:t>
      </w:r>
      <w:r w:rsidRPr="00E310B0">
        <w:t xml:space="preserve"> UE triggered L1 report.</w:t>
      </w:r>
    </w:p>
    <w:p w14:paraId="11DC94B2" w14:textId="12B0BF70" w:rsidR="002118DA" w:rsidRPr="007A25CB" w:rsidRDefault="00B97E4C" w:rsidP="007A25CB">
      <w:pPr>
        <w:rPr>
          <w:b/>
          <w:bCs/>
          <w:i/>
          <w:iCs/>
        </w:rPr>
      </w:pPr>
      <w:r w:rsidRPr="00957A7C">
        <w:rPr>
          <w:b/>
          <w:bCs/>
          <w:i/>
          <w:iCs/>
        </w:rPr>
        <w:t xml:space="preserve">Proposal </w:t>
      </w:r>
      <w:r w:rsidR="00EB4198" w:rsidRPr="00957A7C">
        <w:rPr>
          <w:b/>
          <w:bCs/>
          <w:i/>
          <w:iCs/>
        </w:rPr>
        <w:t>1</w:t>
      </w:r>
      <w:r w:rsidR="00E757DA" w:rsidRPr="00957A7C">
        <w:rPr>
          <w:b/>
          <w:bCs/>
          <w:i/>
          <w:iCs/>
        </w:rPr>
        <w:t>3</w:t>
      </w:r>
      <w:r w:rsidRPr="00957A7C">
        <w:rPr>
          <w:b/>
          <w:bCs/>
          <w:i/>
          <w:iCs/>
        </w:rPr>
        <w:t>: MAC CE should be used to report cell detection.</w:t>
      </w:r>
    </w:p>
    <w:p w14:paraId="05AB5766" w14:textId="52E7AFBD" w:rsidR="00EA77C6" w:rsidRPr="001355D0" w:rsidRDefault="00EA77C6" w:rsidP="00EA77C6">
      <w:pPr>
        <w:pStyle w:val="Heading2"/>
      </w:pPr>
      <w:r>
        <w:t>Preparation</w:t>
      </w:r>
      <w:r w:rsidR="0003430E">
        <w:t xml:space="preserve"> phase</w:t>
      </w:r>
    </w:p>
    <w:p w14:paraId="523783A6" w14:textId="2D189D2E" w:rsidR="00EA77C6" w:rsidRPr="00F700B1" w:rsidRDefault="00EA77C6" w:rsidP="00EA77C6">
      <w:pPr>
        <w:rPr>
          <w:b/>
          <w:bCs/>
          <w:i/>
          <w:iCs/>
          <w:szCs w:val="20"/>
        </w:rPr>
      </w:pPr>
      <w:r>
        <w:t>I</w:t>
      </w:r>
      <w:r w:rsidR="0003430E">
        <w:t xml:space="preserve">n RAN1 #111, RAN1 agreed to support </w:t>
      </w:r>
      <w:r w:rsidR="0003430E" w:rsidRPr="0003430E">
        <w:t>DL synchronization for candidate cell(s) based on at least SSB before cell switch command</w:t>
      </w:r>
      <w:r w:rsidR="0003430E">
        <w:t xml:space="preserve">. </w:t>
      </w:r>
      <w:r>
        <w:rPr>
          <w:szCs w:val="20"/>
        </w:rPr>
        <w:t>Considering that DL synchronization is anyway required for the UE to perform measurement on the candidate cell, satisfying this requirement should not significantly increase UE complexity under the reasonable assumption that LTM is performed only on a target cell that has previously been measured and reported by the UE. It should also be feasible for inter-frequency candidate cells if such cells have been measured and reported by the UE.</w:t>
      </w:r>
    </w:p>
    <w:p w14:paraId="36C24A67" w14:textId="488A40D3" w:rsidR="00EA77C6" w:rsidRPr="000A1969" w:rsidRDefault="00EA77C6" w:rsidP="00EA77C6">
      <w:pPr>
        <w:rPr>
          <w:b/>
          <w:bCs/>
          <w:i/>
          <w:iCs/>
          <w:szCs w:val="20"/>
        </w:rPr>
      </w:pPr>
      <w:r w:rsidRPr="000A1969">
        <w:rPr>
          <w:b/>
          <w:bCs/>
          <w:i/>
          <w:iCs/>
          <w:szCs w:val="20"/>
        </w:rPr>
        <w:t xml:space="preserve">Proposal </w:t>
      </w:r>
      <w:r w:rsidR="00957A7C">
        <w:rPr>
          <w:b/>
          <w:bCs/>
          <w:i/>
          <w:iCs/>
          <w:szCs w:val="20"/>
        </w:rPr>
        <w:t>14</w:t>
      </w:r>
      <w:r w:rsidRPr="000A1969">
        <w:rPr>
          <w:b/>
          <w:bCs/>
          <w:i/>
          <w:iCs/>
          <w:szCs w:val="20"/>
        </w:rPr>
        <w:t xml:space="preserve">: Support DL synchronization </w:t>
      </w:r>
      <w:r>
        <w:rPr>
          <w:b/>
          <w:bCs/>
          <w:i/>
          <w:iCs/>
          <w:szCs w:val="20"/>
        </w:rPr>
        <w:t>before reception of cell switch for</w:t>
      </w:r>
      <w:r w:rsidRPr="000A1969">
        <w:rPr>
          <w:b/>
          <w:bCs/>
          <w:i/>
          <w:iCs/>
          <w:szCs w:val="20"/>
        </w:rPr>
        <w:t xml:space="preserve"> both intra-frequency and inter-frequency candidate cell(s).</w:t>
      </w:r>
    </w:p>
    <w:p w14:paraId="56AD15C0" w14:textId="7739BABA" w:rsidR="00EA77C6" w:rsidRDefault="0003430E" w:rsidP="00EA77C6">
      <w:pPr>
        <w:rPr>
          <w:szCs w:val="20"/>
        </w:rPr>
      </w:pPr>
      <w:r>
        <w:rPr>
          <w:szCs w:val="20"/>
        </w:rPr>
        <w:t xml:space="preserve">Another discussion point was </w:t>
      </w:r>
      <w:r w:rsidR="00EA77C6">
        <w:rPr>
          <w:szCs w:val="20"/>
        </w:rPr>
        <w:t xml:space="preserve">TRS tracking and CSI measurement of candidate cell(s) before reception of cell switch command. Supporting such functionality would be beneficial to reduce the delay until the network can maximize throughput in the target cell. On the other hand, it could potentially also significantly increase the burden of the UE unless it can be done in a selective manner for a small number of candidate cells to which the UE is most likely to switch within </w:t>
      </w:r>
      <w:proofErr w:type="gramStart"/>
      <w:r w:rsidR="00EA77C6">
        <w:rPr>
          <w:szCs w:val="20"/>
        </w:rPr>
        <w:t>a short period</w:t>
      </w:r>
      <w:proofErr w:type="gramEnd"/>
      <w:r w:rsidR="00EA77C6">
        <w:rPr>
          <w:szCs w:val="20"/>
        </w:rPr>
        <w:t xml:space="preserve"> of time. In addition, it may not be feasible if the candidate cells are on a frequency for which the UE requires measurement gaps. One may assume that the ICBM framework can be reused to </w:t>
      </w:r>
      <w:proofErr w:type="gramStart"/>
      <w:r w:rsidR="00EA77C6">
        <w:rPr>
          <w:szCs w:val="20"/>
        </w:rPr>
        <w:t>a large extent</w:t>
      </w:r>
      <w:proofErr w:type="gramEnd"/>
      <w:r w:rsidR="00EA77C6">
        <w:rPr>
          <w:szCs w:val="20"/>
        </w:rPr>
        <w:t xml:space="preserve"> to support this.</w:t>
      </w:r>
    </w:p>
    <w:p w14:paraId="0D56E2C7" w14:textId="12CCC4B6" w:rsidR="00EA77C6" w:rsidRPr="00950212" w:rsidRDefault="00EA77C6" w:rsidP="00EA77C6">
      <w:pPr>
        <w:rPr>
          <w:b/>
          <w:bCs/>
          <w:i/>
          <w:iCs/>
          <w:szCs w:val="20"/>
        </w:rPr>
      </w:pPr>
      <w:r w:rsidRPr="008F1CAA">
        <w:rPr>
          <w:b/>
          <w:bCs/>
          <w:i/>
          <w:iCs/>
          <w:szCs w:val="20"/>
        </w:rPr>
        <w:t xml:space="preserve">Proposal </w:t>
      </w:r>
      <w:r w:rsidR="0003430E">
        <w:rPr>
          <w:b/>
          <w:bCs/>
          <w:i/>
          <w:iCs/>
          <w:szCs w:val="20"/>
        </w:rPr>
        <w:t>1</w:t>
      </w:r>
      <w:r w:rsidR="00957A7C">
        <w:rPr>
          <w:b/>
          <w:bCs/>
          <w:i/>
          <w:iCs/>
          <w:szCs w:val="20"/>
        </w:rPr>
        <w:t>5</w:t>
      </w:r>
      <w:r w:rsidRPr="008F1CAA">
        <w:rPr>
          <w:b/>
          <w:bCs/>
          <w:i/>
          <w:iCs/>
          <w:szCs w:val="20"/>
        </w:rPr>
        <w:t xml:space="preserve">: Support TRS tracking and CSI acquisition </w:t>
      </w:r>
      <w:r>
        <w:rPr>
          <w:b/>
          <w:bCs/>
          <w:i/>
          <w:iCs/>
          <w:szCs w:val="20"/>
        </w:rPr>
        <w:t xml:space="preserve">at least </w:t>
      </w:r>
      <w:r w:rsidRPr="008F1CAA">
        <w:rPr>
          <w:b/>
          <w:bCs/>
          <w:i/>
          <w:iCs/>
          <w:szCs w:val="20"/>
        </w:rPr>
        <w:t>for intra-frequency candidate cell(s) before reception of cell switch command.</w:t>
      </w:r>
    </w:p>
    <w:p w14:paraId="18EC7E69" w14:textId="3E75B5B7" w:rsidR="009641F4" w:rsidRDefault="00EA77C6" w:rsidP="00EA77C6">
      <w:pPr>
        <w:pStyle w:val="Heading2"/>
      </w:pPr>
      <w:r>
        <w:t>Cell switch command</w:t>
      </w:r>
    </w:p>
    <w:p w14:paraId="64458280" w14:textId="26A99C87" w:rsidR="001355D0" w:rsidRDefault="001355D0" w:rsidP="001355D0">
      <w:r>
        <w:t>RAN1</w:t>
      </w:r>
      <w:r w:rsidR="0030659B">
        <w:t xml:space="preserve"> has already</w:t>
      </w:r>
      <w:r>
        <w:t xml:space="preserve"> agreed to support TA acquisition of candidate cell(s) before cell switch command is received in LTM. When the UE has valid TA for a target cell (or for a TCI state of a target cell, if TA/TAG association to TCI state is supported), the UE does not need to perform RACH procedure following reception of the cell switch command. If the UE does not perform RACH procedure, the UE needs to receive an indication of active TCI state in the cell switch command to determine how to receive PDCCH following the cell switch.</w:t>
      </w:r>
    </w:p>
    <w:p w14:paraId="59AC5B37" w14:textId="565F1608" w:rsidR="001355D0" w:rsidRDefault="001355D0" w:rsidP="001355D0">
      <w:pPr>
        <w:rPr>
          <w:b/>
          <w:bCs/>
          <w:i/>
          <w:iCs/>
        </w:rPr>
      </w:pPr>
      <w:r w:rsidRPr="00F51286">
        <w:rPr>
          <w:b/>
          <w:bCs/>
          <w:i/>
          <w:iCs/>
        </w:rPr>
        <w:t xml:space="preserve">Proposal </w:t>
      </w:r>
      <w:r w:rsidR="0030659B">
        <w:rPr>
          <w:b/>
          <w:bCs/>
          <w:i/>
          <w:iCs/>
        </w:rPr>
        <w:t>1</w:t>
      </w:r>
      <w:r w:rsidR="007B19B7">
        <w:rPr>
          <w:b/>
          <w:bCs/>
          <w:i/>
          <w:iCs/>
        </w:rPr>
        <w:t>6</w:t>
      </w:r>
      <w:r w:rsidRPr="00F51286">
        <w:rPr>
          <w:b/>
          <w:bCs/>
          <w:i/>
          <w:iCs/>
        </w:rPr>
        <w:t>: Cell switch command can include indication of active TCI state in target cell.</w:t>
      </w:r>
    </w:p>
    <w:p w14:paraId="44342A57" w14:textId="08F678F8" w:rsidR="001355D0" w:rsidRDefault="001355D0" w:rsidP="001355D0">
      <w:r>
        <w:t>In addition, the cell switch command may need to contain indication of an uplink resource for the confirmation of execution of the cell switch in target cell</w:t>
      </w:r>
      <w:r w:rsidR="0030659B">
        <w:t>.</w:t>
      </w:r>
    </w:p>
    <w:p w14:paraId="150402A8" w14:textId="21ACF20C" w:rsidR="00BF7815" w:rsidRPr="007A25CB" w:rsidRDefault="001355D0" w:rsidP="00BF7815">
      <w:pPr>
        <w:rPr>
          <w:b/>
          <w:bCs/>
          <w:i/>
          <w:iCs/>
        </w:rPr>
      </w:pPr>
      <w:r w:rsidRPr="00CE471A">
        <w:rPr>
          <w:b/>
          <w:bCs/>
          <w:i/>
          <w:iCs/>
        </w:rPr>
        <w:t xml:space="preserve">Proposal </w:t>
      </w:r>
      <w:r w:rsidR="0030659B">
        <w:rPr>
          <w:b/>
          <w:bCs/>
          <w:i/>
          <w:iCs/>
        </w:rPr>
        <w:t>1</w:t>
      </w:r>
      <w:r w:rsidR="00E1724E">
        <w:rPr>
          <w:b/>
          <w:bCs/>
          <w:i/>
          <w:iCs/>
        </w:rPr>
        <w:t>7</w:t>
      </w:r>
      <w:r w:rsidRPr="00CE471A">
        <w:rPr>
          <w:b/>
          <w:bCs/>
          <w:i/>
          <w:iCs/>
        </w:rPr>
        <w:t>: Cell switch command can indicate an uplink resource of target cell for the confirmation of execution of the cell switch.</w:t>
      </w:r>
    </w:p>
    <w:p w14:paraId="19B42220" w14:textId="2AA2B0A7" w:rsidR="00D54D58" w:rsidRDefault="00D54D58" w:rsidP="00D54D58">
      <w:pPr>
        <w:pStyle w:val="Heading2"/>
      </w:pPr>
      <w:r w:rsidRPr="00D54D58">
        <w:t>Beam failure recovery enhancements</w:t>
      </w:r>
    </w:p>
    <w:p w14:paraId="25F14164" w14:textId="5B8F6BB4" w:rsidR="009D2259" w:rsidRDefault="00441039" w:rsidP="0014579E">
      <w:pPr>
        <w:rPr>
          <w:lang w:val="en-GB" w:eastAsia="zh-CN"/>
        </w:rPr>
      </w:pPr>
      <w:r>
        <w:rPr>
          <w:lang w:val="en-GB" w:eastAsia="zh-CN"/>
        </w:rPr>
        <w:t xml:space="preserve">For R18 L1/2 mobility, </w:t>
      </w:r>
      <w:r w:rsidR="009D2259">
        <w:rPr>
          <w:lang w:val="en-GB" w:eastAsia="zh-CN"/>
        </w:rPr>
        <w:t xml:space="preserve">the UE can </w:t>
      </w:r>
      <w:r w:rsidR="00F603C1">
        <w:rPr>
          <w:lang w:val="en-GB" w:eastAsia="zh-CN"/>
        </w:rPr>
        <w:t xml:space="preserve">perform change of serving cell dynamically, </w:t>
      </w:r>
      <w:r w:rsidR="003572AA">
        <w:rPr>
          <w:lang w:val="en-GB" w:eastAsia="zh-CN"/>
        </w:rPr>
        <w:t>e.g.,</w:t>
      </w:r>
      <w:r w:rsidR="00F603C1">
        <w:rPr>
          <w:lang w:val="en-GB" w:eastAsia="zh-CN"/>
        </w:rPr>
        <w:t xml:space="preserve"> using MAC CE. This means that the network is prepared to allocate resources for that UE without RRC reconfiguration from any serving cell within the L1/2 mobility area. In case of beam failure detection, this </w:t>
      </w:r>
      <w:r w:rsidR="00E078AC">
        <w:rPr>
          <w:lang w:val="en-GB" w:eastAsia="zh-CN"/>
        </w:rPr>
        <w:t>opens</w:t>
      </w:r>
      <w:r w:rsidR="00F603C1">
        <w:rPr>
          <w:lang w:val="en-GB" w:eastAsia="zh-CN"/>
        </w:rPr>
        <w:t xml:space="preserve"> possibility of recovering beam for PDCCH from a non-serving cell to avoid radio link failure when </w:t>
      </w:r>
      <w:r w:rsidR="00871327">
        <w:rPr>
          <w:lang w:val="en-GB" w:eastAsia="zh-CN"/>
        </w:rPr>
        <w:t>no beam from the serving cell can be properly received, or to select a better beam. This enhancement would significantly increase robustness of the connection.</w:t>
      </w:r>
      <w:r w:rsidR="00F603C1">
        <w:rPr>
          <w:lang w:val="en-GB" w:eastAsia="zh-CN"/>
        </w:rPr>
        <w:t xml:space="preserve"> </w:t>
      </w:r>
    </w:p>
    <w:p w14:paraId="47D72564" w14:textId="02CE7F58" w:rsidR="00D54D58" w:rsidRPr="007A25CB" w:rsidRDefault="00871327" w:rsidP="0014579E">
      <w:pPr>
        <w:rPr>
          <w:b/>
          <w:bCs/>
          <w:i/>
          <w:iCs/>
          <w:lang w:val="en-GB" w:eastAsia="zh-CN"/>
        </w:rPr>
      </w:pPr>
      <w:r w:rsidRPr="00871327">
        <w:rPr>
          <w:b/>
          <w:bCs/>
          <w:i/>
          <w:iCs/>
          <w:lang w:val="en-GB" w:eastAsia="zh-CN"/>
        </w:rPr>
        <w:t xml:space="preserve">Proposal </w:t>
      </w:r>
      <w:r w:rsidR="00CE471A">
        <w:rPr>
          <w:b/>
          <w:bCs/>
          <w:i/>
          <w:iCs/>
          <w:lang w:val="en-GB" w:eastAsia="zh-CN"/>
        </w:rPr>
        <w:t>1</w:t>
      </w:r>
      <w:r w:rsidR="001474E8">
        <w:rPr>
          <w:b/>
          <w:bCs/>
          <w:i/>
          <w:iCs/>
          <w:lang w:val="en-GB" w:eastAsia="zh-CN"/>
        </w:rPr>
        <w:t>8</w:t>
      </w:r>
      <w:r w:rsidRPr="00871327">
        <w:rPr>
          <w:b/>
          <w:bCs/>
          <w:i/>
          <w:iCs/>
          <w:lang w:val="en-GB" w:eastAsia="zh-CN"/>
        </w:rPr>
        <w:t>: Support beam failure recovery on resources of non-serving cell.</w:t>
      </w:r>
    </w:p>
    <w:p w14:paraId="6F7D828B" w14:textId="2A810370" w:rsidR="00E078AC" w:rsidRDefault="00E078AC" w:rsidP="00E078AC">
      <w:pPr>
        <w:pStyle w:val="Heading1"/>
      </w:pPr>
      <w:r>
        <w:lastRenderedPageBreak/>
        <w:t>Conclusion</w:t>
      </w:r>
    </w:p>
    <w:p w14:paraId="0C0195DD" w14:textId="0826D189" w:rsidR="00E078AC" w:rsidRPr="0034330B" w:rsidRDefault="00E078AC" w:rsidP="00244B52">
      <w:r w:rsidRPr="0034330B">
        <w:t xml:space="preserve">This contribution </w:t>
      </w:r>
      <w:r>
        <w:t>proposed the following L1 measurement</w:t>
      </w:r>
      <w:r w:rsidRPr="0034330B">
        <w:t xml:space="preserve"> enhancements </w:t>
      </w:r>
      <w:r>
        <w:t>for the</w:t>
      </w:r>
      <w:r w:rsidRPr="0034330B">
        <w:t xml:space="preserve"> suppor</w:t>
      </w:r>
      <w:r>
        <w:t xml:space="preserve">t of </w:t>
      </w:r>
      <w:r w:rsidR="00AD7B21">
        <w:t>LTM</w:t>
      </w:r>
      <w:r>
        <w:t>:</w:t>
      </w:r>
    </w:p>
    <w:p w14:paraId="1D8B38F2" w14:textId="3FFEDE0F" w:rsidR="00244B52" w:rsidRDefault="00244B52" w:rsidP="00244B52">
      <w:pPr>
        <w:rPr>
          <w:b/>
          <w:bCs/>
        </w:rPr>
      </w:pPr>
      <w:r w:rsidRPr="00943FFE">
        <w:rPr>
          <w:b/>
          <w:bCs/>
          <w:i/>
          <w:iCs/>
        </w:rPr>
        <w:t>Proposal 1: The maximum number of stored candidate configurations (configured in LTM preparation) can be larger than the number of candidate cells being actively measured</w:t>
      </w:r>
      <w:r>
        <w:rPr>
          <w:b/>
          <w:bCs/>
          <w:i/>
          <w:iCs/>
        </w:rPr>
        <w:t>.</w:t>
      </w:r>
      <w:r w:rsidRPr="00876AA1">
        <w:rPr>
          <w:b/>
          <w:bCs/>
        </w:rPr>
        <w:t xml:space="preserve"> </w:t>
      </w:r>
    </w:p>
    <w:p w14:paraId="36659A02" w14:textId="77777777" w:rsidR="00244B52" w:rsidRDefault="00244B52" w:rsidP="00244B52">
      <w:pPr>
        <w:rPr>
          <w:b/>
          <w:bCs/>
          <w:i/>
          <w:iCs/>
        </w:rPr>
      </w:pPr>
      <w:r w:rsidRPr="005A6DD9">
        <w:rPr>
          <w:b/>
          <w:bCs/>
          <w:i/>
          <w:iCs/>
        </w:rPr>
        <w:t xml:space="preserve">Proposal 2: </w:t>
      </w:r>
      <w:r>
        <w:rPr>
          <w:b/>
          <w:bCs/>
          <w:i/>
          <w:iCs/>
        </w:rPr>
        <w:t xml:space="preserve">CSI-RS based L1 measurement for inter-cell beam management is not supported in Rel-18. </w:t>
      </w:r>
    </w:p>
    <w:p w14:paraId="545E42B5" w14:textId="6A075570" w:rsidR="00244B52" w:rsidRDefault="00244B52" w:rsidP="00244B52">
      <w:pPr>
        <w:rPr>
          <w:b/>
          <w:bCs/>
          <w:i/>
          <w:iCs/>
        </w:rPr>
      </w:pPr>
      <w:r w:rsidRPr="009B50B0">
        <w:rPr>
          <w:b/>
          <w:bCs/>
          <w:i/>
          <w:iCs/>
        </w:rPr>
        <w:t xml:space="preserve">Proposal </w:t>
      </w:r>
      <w:r>
        <w:rPr>
          <w:b/>
          <w:bCs/>
          <w:i/>
          <w:iCs/>
        </w:rPr>
        <w:t>3</w:t>
      </w:r>
      <w:r w:rsidRPr="009B50B0">
        <w:rPr>
          <w:b/>
          <w:bCs/>
          <w:i/>
          <w:iCs/>
        </w:rPr>
        <w:t>: Support reporting of strongest detected SSB resources in MAC CE.</w:t>
      </w:r>
    </w:p>
    <w:p w14:paraId="30F34D45" w14:textId="1FDF4B73" w:rsidR="00244B52" w:rsidRPr="008A484A" w:rsidRDefault="00244B52" w:rsidP="00244B52">
      <w:pPr>
        <w:rPr>
          <w:b/>
          <w:bCs/>
          <w:i/>
          <w:iCs/>
        </w:rPr>
      </w:pPr>
      <w:r w:rsidRPr="00255727">
        <w:rPr>
          <w:b/>
          <w:bCs/>
          <w:i/>
          <w:iCs/>
        </w:rPr>
        <w:t xml:space="preserve">Proposal </w:t>
      </w:r>
      <w:r>
        <w:rPr>
          <w:b/>
          <w:bCs/>
          <w:i/>
          <w:iCs/>
        </w:rPr>
        <w:t>4</w:t>
      </w:r>
      <w:r w:rsidRPr="00255727">
        <w:rPr>
          <w:b/>
          <w:bCs/>
          <w:i/>
          <w:iCs/>
        </w:rPr>
        <w:t xml:space="preserve">: Support triggering of MAC CE </w:t>
      </w:r>
      <w:r>
        <w:rPr>
          <w:b/>
          <w:bCs/>
          <w:i/>
          <w:iCs/>
        </w:rPr>
        <w:t xml:space="preserve">measurement </w:t>
      </w:r>
      <w:r w:rsidRPr="00255727">
        <w:rPr>
          <w:b/>
          <w:bCs/>
          <w:i/>
          <w:iCs/>
        </w:rPr>
        <w:t>report when there is a change in the set of strongest detected SSB resources.</w:t>
      </w:r>
    </w:p>
    <w:p w14:paraId="3F17A0BD" w14:textId="77777777" w:rsidR="00244B52" w:rsidRDefault="00244B52" w:rsidP="00244B52">
      <w:pPr>
        <w:rPr>
          <w:b/>
          <w:bCs/>
          <w:i/>
          <w:iCs/>
        </w:rPr>
      </w:pPr>
      <w:r w:rsidRPr="009B50B0">
        <w:rPr>
          <w:b/>
          <w:bCs/>
          <w:i/>
          <w:iCs/>
        </w:rPr>
        <w:t xml:space="preserve">Proposal </w:t>
      </w:r>
      <w:r>
        <w:rPr>
          <w:b/>
          <w:bCs/>
          <w:i/>
          <w:iCs/>
        </w:rPr>
        <w:t>5</w:t>
      </w:r>
      <w:r w:rsidRPr="009B50B0">
        <w:rPr>
          <w:b/>
          <w:bCs/>
          <w:i/>
          <w:iCs/>
        </w:rPr>
        <w:t>: Support association of SSB resource to a CSI</w:t>
      </w:r>
      <w:r>
        <w:rPr>
          <w:b/>
          <w:bCs/>
          <w:i/>
          <w:iCs/>
        </w:rPr>
        <w:t>-</w:t>
      </w:r>
      <w:r w:rsidRPr="009B50B0">
        <w:rPr>
          <w:b/>
          <w:bCs/>
          <w:i/>
          <w:iCs/>
        </w:rPr>
        <w:t>SSB resource set by MAC CE.</w:t>
      </w:r>
    </w:p>
    <w:p w14:paraId="087E4DDA" w14:textId="77777777" w:rsidR="00244B52" w:rsidRPr="00F700B1" w:rsidRDefault="00244B52" w:rsidP="00244B52">
      <w:pPr>
        <w:rPr>
          <w:b/>
          <w:bCs/>
          <w:i/>
          <w:iCs/>
        </w:rPr>
      </w:pPr>
      <w:r>
        <w:rPr>
          <w:b/>
          <w:bCs/>
          <w:i/>
          <w:iCs/>
        </w:rPr>
        <w:t>Proposal 6: Support association of SSB resource to a TCI state by MAC CE.</w:t>
      </w:r>
    </w:p>
    <w:p w14:paraId="13EC8F69" w14:textId="77777777" w:rsidR="00244B52" w:rsidRDefault="00244B52" w:rsidP="00244B52">
      <w:pPr>
        <w:spacing w:after="0" w:line="240" w:lineRule="auto"/>
        <w:rPr>
          <w:b/>
          <w:bCs/>
          <w:i/>
          <w:iCs/>
          <w:lang w:val="en-GB"/>
        </w:rPr>
      </w:pPr>
      <w:r w:rsidRPr="007B4C6F">
        <w:rPr>
          <w:b/>
          <w:bCs/>
          <w:i/>
          <w:iCs/>
        </w:rPr>
        <w:t xml:space="preserve">Proposal </w:t>
      </w:r>
      <w:r>
        <w:rPr>
          <w:b/>
          <w:bCs/>
          <w:i/>
          <w:iCs/>
        </w:rPr>
        <w:t>7</w:t>
      </w:r>
      <w:r w:rsidRPr="007B4C6F">
        <w:rPr>
          <w:b/>
          <w:bCs/>
          <w:i/>
          <w:iCs/>
        </w:rPr>
        <w:t xml:space="preserve">: </w:t>
      </w:r>
      <w:r w:rsidRPr="007B4C6F">
        <w:rPr>
          <w:b/>
          <w:bCs/>
          <w:i/>
          <w:iCs/>
          <w:lang w:val="en-GB"/>
        </w:rPr>
        <w:t>L1 measurement configuration is based on CSI measurement configuration specified in Rel-17 ICBM.</w:t>
      </w:r>
    </w:p>
    <w:p w14:paraId="7EEDE5DC" w14:textId="77777777" w:rsidR="00244B52" w:rsidRPr="00F700B1" w:rsidRDefault="00244B52" w:rsidP="00244B52">
      <w:pPr>
        <w:rPr>
          <w:b/>
          <w:bCs/>
          <w:i/>
          <w:iCs/>
        </w:rPr>
      </w:pPr>
      <w:r w:rsidRPr="00F700B1">
        <w:rPr>
          <w:b/>
          <w:bCs/>
          <w:i/>
          <w:iCs/>
        </w:rPr>
        <w:t>Proposal 8: Support that inter-frequency L1 measurement results are included in a L1 report under a condition that the best result on the frequency is higher than a threshold relative to best intra-frequency result.</w:t>
      </w:r>
    </w:p>
    <w:p w14:paraId="07981379" w14:textId="77777777" w:rsidR="00244B52" w:rsidRPr="00F700B1" w:rsidRDefault="00244B52" w:rsidP="00244B52">
      <w:pPr>
        <w:rPr>
          <w:b/>
          <w:bCs/>
          <w:i/>
          <w:iCs/>
        </w:rPr>
      </w:pPr>
      <w:r w:rsidRPr="00F700B1">
        <w:rPr>
          <w:b/>
          <w:bCs/>
          <w:i/>
          <w:iCs/>
        </w:rPr>
        <w:t>Proposal 9: Support that inter-frequency L1 measurement results are included in a L1 report under a condition that the best intra-frequency result is lower than a threshold.</w:t>
      </w:r>
    </w:p>
    <w:p w14:paraId="650D528E" w14:textId="77777777" w:rsidR="00244B52" w:rsidRPr="00B07A0F" w:rsidRDefault="00244B52" w:rsidP="00244B52">
      <w:pPr>
        <w:rPr>
          <w:b/>
          <w:bCs/>
          <w:i/>
          <w:iCs/>
        </w:rPr>
      </w:pPr>
      <w:r w:rsidRPr="00B07A0F">
        <w:rPr>
          <w:b/>
          <w:bCs/>
          <w:i/>
          <w:iCs/>
        </w:rPr>
        <w:t>Proposal 10: RRC configures a separate set of resources for channel measurement for each frequency.</w:t>
      </w:r>
    </w:p>
    <w:p w14:paraId="4B250068" w14:textId="77777777" w:rsidR="00244B52" w:rsidRPr="00E757DA" w:rsidRDefault="00244B52" w:rsidP="00244B52">
      <w:pPr>
        <w:rPr>
          <w:b/>
          <w:bCs/>
          <w:i/>
          <w:iCs/>
        </w:rPr>
      </w:pPr>
      <w:r w:rsidRPr="00B07A0F">
        <w:rPr>
          <w:b/>
          <w:bCs/>
          <w:i/>
          <w:iCs/>
        </w:rPr>
        <w:t>Proposal 11: L1 measurement report indicates which set(s) of inter-frequencies are included.</w:t>
      </w:r>
    </w:p>
    <w:p w14:paraId="7BF7AFD7" w14:textId="77777777" w:rsidR="00244B52" w:rsidRPr="00957A7C" w:rsidRDefault="00244B52" w:rsidP="00244B52">
      <w:pPr>
        <w:rPr>
          <w:b/>
          <w:bCs/>
          <w:i/>
          <w:iCs/>
        </w:rPr>
      </w:pPr>
      <w:r w:rsidRPr="00957A7C">
        <w:rPr>
          <w:b/>
          <w:bCs/>
          <w:i/>
          <w:iCs/>
        </w:rPr>
        <w:t xml:space="preserve">Proposal 12: L1 UE triggered reporting is supported at least for reporting detected cells on a carrier. </w:t>
      </w:r>
    </w:p>
    <w:p w14:paraId="703CED01" w14:textId="77777777" w:rsidR="00244B52" w:rsidRPr="00957A7C" w:rsidRDefault="00244B52" w:rsidP="00244B52">
      <w:pPr>
        <w:rPr>
          <w:b/>
          <w:bCs/>
          <w:i/>
          <w:iCs/>
        </w:rPr>
      </w:pPr>
      <w:r w:rsidRPr="00957A7C">
        <w:rPr>
          <w:b/>
          <w:bCs/>
          <w:i/>
          <w:iCs/>
        </w:rPr>
        <w:t>Proposal 13: MAC CE should be used to report cell detection.</w:t>
      </w:r>
    </w:p>
    <w:p w14:paraId="4C09C14A" w14:textId="77777777" w:rsidR="00244B52" w:rsidRPr="000A1969" w:rsidRDefault="00244B52" w:rsidP="00244B52">
      <w:pPr>
        <w:rPr>
          <w:b/>
          <w:bCs/>
          <w:i/>
          <w:iCs/>
          <w:szCs w:val="20"/>
        </w:rPr>
      </w:pPr>
      <w:r w:rsidRPr="000A1969">
        <w:rPr>
          <w:b/>
          <w:bCs/>
          <w:i/>
          <w:iCs/>
          <w:szCs w:val="20"/>
        </w:rPr>
        <w:t xml:space="preserve">Proposal </w:t>
      </w:r>
      <w:r>
        <w:rPr>
          <w:b/>
          <w:bCs/>
          <w:i/>
          <w:iCs/>
          <w:szCs w:val="20"/>
        </w:rPr>
        <w:t>14</w:t>
      </w:r>
      <w:r w:rsidRPr="000A1969">
        <w:rPr>
          <w:b/>
          <w:bCs/>
          <w:i/>
          <w:iCs/>
          <w:szCs w:val="20"/>
        </w:rPr>
        <w:t xml:space="preserve">: Support DL synchronization </w:t>
      </w:r>
      <w:r>
        <w:rPr>
          <w:b/>
          <w:bCs/>
          <w:i/>
          <w:iCs/>
          <w:szCs w:val="20"/>
        </w:rPr>
        <w:t>before reception of cell switch for</w:t>
      </w:r>
      <w:r w:rsidRPr="000A1969">
        <w:rPr>
          <w:b/>
          <w:bCs/>
          <w:i/>
          <w:iCs/>
          <w:szCs w:val="20"/>
        </w:rPr>
        <w:t xml:space="preserve"> both intra-frequency and inter-frequency candidate cell(s).</w:t>
      </w:r>
    </w:p>
    <w:p w14:paraId="64F6D704" w14:textId="77777777" w:rsidR="00244B52" w:rsidRPr="00950212" w:rsidRDefault="00244B52" w:rsidP="00244B52">
      <w:pPr>
        <w:rPr>
          <w:b/>
          <w:bCs/>
          <w:i/>
          <w:iCs/>
          <w:szCs w:val="20"/>
        </w:rPr>
      </w:pPr>
      <w:r w:rsidRPr="008F1CAA">
        <w:rPr>
          <w:b/>
          <w:bCs/>
          <w:i/>
          <w:iCs/>
          <w:szCs w:val="20"/>
        </w:rPr>
        <w:t xml:space="preserve">Proposal </w:t>
      </w:r>
      <w:r>
        <w:rPr>
          <w:b/>
          <w:bCs/>
          <w:i/>
          <w:iCs/>
          <w:szCs w:val="20"/>
        </w:rPr>
        <w:t>15</w:t>
      </w:r>
      <w:r w:rsidRPr="008F1CAA">
        <w:rPr>
          <w:b/>
          <w:bCs/>
          <w:i/>
          <w:iCs/>
          <w:szCs w:val="20"/>
        </w:rPr>
        <w:t xml:space="preserve">: Support TRS tracking and CSI acquisition </w:t>
      </w:r>
      <w:r>
        <w:rPr>
          <w:b/>
          <w:bCs/>
          <w:i/>
          <w:iCs/>
          <w:szCs w:val="20"/>
        </w:rPr>
        <w:t xml:space="preserve">at least </w:t>
      </w:r>
      <w:r w:rsidRPr="008F1CAA">
        <w:rPr>
          <w:b/>
          <w:bCs/>
          <w:i/>
          <w:iCs/>
          <w:szCs w:val="20"/>
        </w:rPr>
        <w:t>for intra-frequency candidate cell(s) before reception of cell switch command.</w:t>
      </w:r>
    </w:p>
    <w:p w14:paraId="5EAFAA34" w14:textId="77777777" w:rsidR="00244B52" w:rsidRDefault="00244B52" w:rsidP="00244B52">
      <w:pPr>
        <w:rPr>
          <w:b/>
          <w:bCs/>
          <w:i/>
          <w:iCs/>
        </w:rPr>
      </w:pPr>
      <w:r w:rsidRPr="00F51286">
        <w:rPr>
          <w:b/>
          <w:bCs/>
          <w:i/>
          <w:iCs/>
        </w:rPr>
        <w:t xml:space="preserve">Proposal </w:t>
      </w:r>
      <w:r>
        <w:rPr>
          <w:b/>
          <w:bCs/>
          <w:i/>
          <w:iCs/>
        </w:rPr>
        <w:t>16</w:t>
      </w:r>
      <w:r w:rsidRPr="00F51286">
        <w:rPr>
          <w:b/>
          <w:bCs/>
          <w:i/>
          <w:iCs/>
        </w:rPr>
        <w:t>: Cell switch command can include indication of active TCI state in target cell.</w:t>
      </w:r>
    </w:p>
    <w:p w14:paraId="0290A9A7" w14:textId="77777777" w:rsidR="00244B52" w:rsidRPr="00CE471A" w:rsidRDefault="00244B52" w:rsidP="00244B52">
      <w:pPr>
        <w:rPr>
          <w:b/>
          <w:bCs/>
          <w:i/>
          <w:iCs/>
        </w:rPr>
      </w:pPr>
      <w:r w:rsidRPr="00CE471A">
        <w:rPr>
          <w:b/>
          <w:bCs/>
          <w:i/>
          <w:iCs/>
        </w:rPr>
        <w:t xml:space="preserve">Proposal </w:t>
      </w:r>
      <w:r>
        <w:rPr>
          <w:b/>
          <w:bCs/>
          <w:i/>
          <w:iCs/>
        </w:rPr>
        <w:t>17</w:t>
      </w:r>
      <w:r w:rsidRPr="00CE471A">
        <w:rPr>
          <w:b/>
          <w:bCs/>
          <w:i/>
          <w:iCs/>
        </w:rPr>
        <w:t>: Cell switch command can indicate an uplink resource of target cell for the confirmation of execution of the cell switch.</w:t>
      </w:r>
    </w:p>
    <w:p w14:paraId="1DEB10FA" w14:textId="77777777" w:rsidR="00244B52" w:rsidRDefault="00244B52" w:rsidP="00244B52">
      <w:pPr>
        <w:rPr>
          <w:b/>
          <w:bCs/>
          <w:i/>
          <w:iCs/>
          <w:lang w:val="en-GB" w:eastAsia="zh-CN"/>
        </w:rPr>
      </w:pPr>
      <w:r w:rsidRPr="00871327">
        <w:rPr>
          <w:b/>
          <w:bCs/>
          <w:i/>
          <w:iCs/>
          <w:lang w:val="en-GB" w:eastAsia="zh-CN"/>
        </w:rPr>
        <w:t xml:space="preserve">Proposal </w:t>
      </w:r>
      <w:r>
        <w:rPr>
          <w:b/>
          <w:bCs/>
          <w:i/>
          <w:iCs/>
          <w:lang w:val="en-GB" w:eastAsia="zh-CN"/>
        </w:rPr>
        <w:t>18</w:t>
      </w:r>
      <w:r w:rsidRPr="00871327">
        <w:rPr>
          <w:b/>
          <w:bCs/>
          <w:i/>
          <w:iCs/>
          <w:lang w:val="en-GB" w:eastAsia="zh-CN"/>
        </w:rPr>
        <w:t>: Support beam failure recovery on resources of non-serving cell.</w:t>
      </w:r>
    </w:p>
    <w:p w14:paraId="2BF7FD98" w14:textId="399E377C" w:rsidR="00CE471A" w:rsidRPr="00244B52" w:rsidRDefault="00CE471A" w:rsidP="00244B52"/>
    <w:p w14:paraId="04DC7746" w14:textId="64C4A299" w:rsidR="00B247A4" w:rsidRDefault="00B247A4" w:rsidP="00B247A4">
      <w:pPr>
        <w:pStyle w:val="Heading1"/>
      </w:pPr>
      <w:r w:rsidRPr="00265983">
        <w:t>Refe</w:t>
      </w:r>
      <w:r w:rsidR="00E4647B" w:rsidRPr="00265983">
        <w:t>rences</w:t>
      </w:r>
    </w:p>
    <w:p w14:paraId="67BC9F55" w14:textId="30125DD8" w:rsidR="0014579E" w:rsidRPr="00286A2E" w:rsidRDefault="00026CA0" w:rsidP="0014579E">
      <w:r>
        <w:rPr>
          <w:lang w:val="en-GB" w:eastAsia="zh-CN"/>
        </w:rPr>
        <w:t xml:space="preserve">[1] </w:t>
      </w:r>
      <w:r>
        <w:t>Draft Report of 3GPP TSG RAN WG1 #111 v0.2.0</w:t>
      </w:r>
    </w:p>
    <w:sectPr w:rsidR="0014579E" w:rsidRPr="00286A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C42C" w14:textId="77777777" w:rsidR="00B54219" w:rsidRDefault="00B54219" w:rsidP="005854C7">
      <w:pPr>
        <w:spacing w:after="0" w:line="240" w:lineRule="auto"/>
      </w:pPr>
      <w:r>
        <w:separator/>
      </w:r>
    </w:p>
  </w:endnote>
  <w:endnote w:type="continuationSeparator" w:id="0">
    <w:p w14:paraId="3AE8C2BF" w14:textId="77777777" w:rsidR="00B54219" w:rsidRDefault="00B54219"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503E2" w14:textId="77777777" w:rsidR="00B54219" w:rsidRDefault="00B54219" w:rsidP="005854C7">
      <w:pPr>
        <w:spacing w:after="0" w:line="240" w:lineRule="auto"/>
      </w:pPr>
      <w:r>
        <w:separator/>
      </w:r>
    </w:p>
  </w:footnote>
  <w:footnote w:type="continuationSeparator" w:id="0">
    <w:p w14:paraId="3FCFC56E" w14:textId="77777777" w:rsidR="00B54219" w:rsidRDefault="00B54219"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CC131E"/>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sz w:val="28"/>
        <w:lang w:val="en-US"/>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3580659"/>
    <w:multiLevelType w:val="hybridMultilevel"/>
    <w:tmpl w:val="85AA4E74"/>
    <w:lvl w:ilvl="0" w:tplc="2E4809A0">
      <w:start w:val="1"/>
      <w:numFmt w:val="bullet"/>
      <w:lvlText w:val="-"/>
      <w:lvlJc w:val="left"/>
      <w:pPr>
        <w:tabs>
          <w:tab w:val="num" w:pos="720"/>
        </w:tabs>
        <w:ind w:left="720" w:hanging="360"/>
      </w:pPr>
      <w:rPr>
        <w:rFonts w:ascii="Times" w:hAnsi="Times" w:hint="default"/>
      </w:rPr>
    </w:lvl>
    <w:lvl w:ilvl="1" w:tplc="B8A40198">
      <w:start w:val="1"/>
      <w:numFmt w:val="bullet"/>
      <w:lvlText w:val="-"/>
      <w:lvlJc w:val="left"/>
      <w:pPr>
        <w:tabs>
          <w:tab w:val="num" w:pos="1440"/>
        </w:tabs>
        <w:ind w:left="1440" w:hanging="360"/>
      </w:pPr>
      <w:rPr>
        <w:rFonts w:ascii="Times" w:hAnsi="Times" w:hint="default"/>
      </w:rPr>
    </w:lvl>
    <w:lvl w:ilvl="2" w:tplc="914A6026">
      <w:start w:val="1"/>
      <w:numFmt w:val="bullet"/>
      <w:lvlText w:val="-"/>
      <w:lvlJc w:val="left"/>
      <w:pPr>
        <w:tabs>
          <w:tab w:val="num" w:pos="2160"/>
        </w:tabs>
        <w:ind w:left="2160" w:hanging="360"/>
      </w:pPr>
      <w:rPr>
        <w:rFonts w:ascii="Times" w:hAnsi="Times" w:hint="default"/>
      </w:rPr>
    </w:lvl>
    <w:lvl w:ilvl="3" w:tplc="0816738A" w:tentative="1">
      <w:start w:val="1"/>
      <w:numFmt w:val="bullet"/>
      <w:lvlText w:val="-"/>
      <w:lvlJc w:val="left"/>
      <w:pPr>
        <w:tabs>
          <w:tab w:val="num" w:pos="2880"/>
        </w:tabs>
        <w:ind w:left="2880" w:hanging="360"/>
      </w:pPr>
      <w:rPr>
        <w:rFonts w:ascii="Times" w:hAnsi="Times" w:hint="default"/>
      </w:rPr>
    </w:lvl>
    <w:lvl w:ilvl="4" w:tplc="D92ADAC8" w:tentative="1">
      <w:start w:val="1"/>
      <w:numFmt w:val="bullet"/>
      <w:lvlText w:val="-"/>
      <w:lvlJc w:val="left"/>
      <w:pPr>
        <w:tabs>
          <w:tab w:val="num" w:pos="3600"/>
        </w:tabs>
        <w:ind w:left="3600" w:hanging="360"/>
      </w:pPr>
      <w:rPr>
        <w:rFonts w:ascii="Times" w:hAnsi="Times" w:hint="default"/>
      </w:rPr>
    </w:lvl>
    <w:lvl w:ilvl="5" w:tplc="D466D120" w:tentative="1">
      <w:start w:val="1"/>
      <w:numFmt w:val="bullet"/>
      <w:lvlText w:val="-"/>
      <w:lvlJc w:val="left"/>
      <w:pPr>
        <w:tabs>
          <w:tab w:val="num" w:pos="4320"/>
        </w:tabs>
        <w:ind w:left="4320" w:hanging="360"/>
      </w:pPr>
      <w:rPr>
        <w:rFonts w:ascii="Times" w:hAnsi="Times" w:hint="default"/>
      </w:rPr>
    </w:lvl>
    <w:lvl w:ilvl="6" w:tplc="48FA2D18" w:tentative="1">
      <w:start w:val="1"/>
      <w:numFmt w:val="bullet"/>
      <w:lvlText w:val="-"/>
      <w:lvlJc w:val="left"/>
      <w:pPr>
        <w:tabs>
          <w:tab w:val="num" w:pos="5040"/>
        </w:tabs>
        <w:ind w:left="5040" w:hanging="360"/>
      </w:pPr>
      <w:rPr>
        <w:rFonts w:ascii="Times" w:hAnsi="Times" w:hint="default"/>
      </w:rPr>
    </w:lvl>
    <w:lvl w:ilvl="7" w:tplc="5282BA30" w:tentative="1">
      <w:start w:val="1"/>
      <w:numFmt w:val="bullet"/>
      <w:lvlText w:val="-"/>
      <w:lvlJc w:val="left"/>
      <w:pPr>
        <w:tabs>
          <w:tab w:val="num" w:pos="5760"/>
        </w:tabs>
        <w:ind w:left="5760" w:hanging="360"/>
      </w:pPr>
      <w:rPr>
        <w:rFonts w:ascii="Times" w:hAnsi="Times" w:hint="default"/>
      </w:rPr>
    </w:lvl>
    <w:lvl w:ilvl="8" w:tplc="31F4B8FA"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F0EE0"/>
    <w:multiLevelType w:val="hybridMultilevel"/>
    <w:tmpl w:val="FC68C5B4"/>
    <w:lvl w:ilvl="0" w:tplc="9FBA483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70189"/>
    <w:multiLevelType w:val="hybridMultilevel"/>
    <w:tmpl w:val="E73A518C"/>
    <w:lvl w:ilvl="0" w:tplc="67B033C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F51250"/>
    <w:multiLevelType w:val="hybridMultilevel"/>
    <w:tmpl w:val="00506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B2885"/>
    <w:multiLevelType w:val="hybridMultilevel"/>
    <w:tmpl w:val="A59A9BB4"/>
    <w:lvl w:ilvl="0" w:tplc="656A0D3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A12DC8"/>
    <w:multiLevelType w:val="hybridMultilevel"/>
    <w:tmpl w:val="2A9ABEDA"/>
    <w:lvl w:ilvl="0" w:tplc="5E541BDC">
      <w:start w:val="1"/>
      <w:numFmt w:val="bullet"/>
      <w:lvlText w:val=""/>
      <w:lvlJc w:val="left"/>
      <w:pPr>
        <w:tabs>
          <w:tab w:val="num" w:pos="720"/>
        </w:tabs>
        <w:ind w:left="720" w:hanging="360"/>
      </w:pPr>
      <w:rPr>
        <w:rFonts w:ascii="Symbol" w:hAnsi="Symbol" w:hint="default"/>
      </w:rPr>
    </w:lvl>
    <w:lvl w:ilvl="1" w:tplc="3A0A24A2">
      <w:numFmt w:val="bullet"/>
      <w:lvlText w:val="-"/>
      <w:lvlJc w:val="left"/>
      <w:pPr>
        <w:tabs>
          <w:tab w:val="num" w:pos="1440"/>
        </w:tabs>
        <w:ind w:left="1440" w:hanging="360"/>
      </w:pPr>
      <w:rPr>
        <w:rFonts w:ascii="Times" w:hAnsi="Times" w:hint="default"/>
      </w:rPr>
    </w:lvl>
    <w:lvl w:ilvl="2" w:tplc="C0DE8584">
      <w:numFmt w:val="bullet"/>
      <w:lvlText w:val="-"/>
      <w:lvlJc w:val="left"/>
      <w:pPr>
        <w:tabs>
          <w:tab w:val="num" w:pos="2160"/>
        </w:tabs>
        <w:ind w:left="2160" w:hanging="360"/>
      </w:pPr>
      <w:rPr>
        <w:rFonts w:ascii="Times" w:hAnsi="Times" w:hint="default"/>
      </w:rPr>
    </w:lvl>
    <w:lvl w:ilvl="3" w:tplc="B0FC670C" w:tentative="1">
      <w:start w:val="1"/>
      <w:numFmt w:val="bullet"/>
      <w:lvlText w:val=""/>
      <w:lvlJc w:val="left"/>
      <w:pPr>
        <w:tabs>
          <w:tab w:val="num" w:pos="2880"/>
        </w:tabs>
        <w:ind w:left="2880" w:hanging="360"/>
      </w:pPr>
      <w:rPr>
        <w:rFonts w:ascii="Symbol" w:hAnsi="Symbol" w:hint="default"/>
      </w:rPr>
    </w:lvl>
    <w:lvl w:ilvl="4" w:tplc="BF34DCAC" w:tentative="1">
      <w:start w:val="1"/>
      <w:numFmt w:val="bullet"/>
      <w:lvlText w:val=""/>
      <w:lvlJc w:val="left"/>
      <w:pPr>
        <w:tabs>
          <w:tab w:val="num" w:pos="3600"/>
        </w:tabs>
        <w:ind w:left="3600" w:hanging="360"/>
      </w:pPr>
      <w:rPr>
        <w:rFonts w:ascii="Symbol" w:hAnsi="Symbol" w:hint="default"/>
      </w:rPr>
    </w:lvl>
    <w:lvl w:ilvl="5" w:tplc="436CEBE0" w:tentative="1">
      <w:start w:val="1"/>
      <w:numFmt w:val="bullet"/>
      <w:lvlText w:val=""/>
      <w:lvlJc w:val="left"/>
      <w:pPr>
        <w:tabs>
          <w:tab w:val="num" w:pos="4320"/>
        </w:tabs>
        <w:ind w:left="4320" w:hanging="360"/>
      </w:pPr>
      <w:rPr>
        <w:rFonts w:ascii="Symbol" w:hAnsi="Symbol" w:hint="default"/>
      </w:rPr>
    </w:lvl>
    <w:lvl w:ilvl="6" w:tplc="9B301AB8" w:tentative="1">
      <w:start w:val="1"/>
      <w:numFmt w:val="bullet"/>
      <w:lvlText w:val=""/>
      <w:lvlJc w:val="left"/>
      <w:pPr>
        <w:tabs>
          <w:tab w:val="num" w:pos="5040"/>
        </w:tabs>
        <w:ind w:left="5040" w:hanging="360"/>
      </w:pPr>
      <w:rPr>
        <w:rFonts w:ascii="Symbol" w:hAnsi="Symbol" w:hint="default"/>
      </w:rPr>
    </w:lvl>
    <w:lvl w:ilvl="7" w:tplc="5516B676" w:tentative="1">
      <w:start w:val="1"/>
      <w:numFmt w:val="bullet"/>
      <w:lvlText w:val=""/>
      <w:lvlJc w:val="left"/>
      <w:pPr>
        <w:tabs>
          <w:tab w:val="num" w:pos="5760"/>
        </w:tabs>
        <w:ind w:left="5760" w:hanging="360"/>
      </w:pPr>
      <w:rPr>
        <w:rFonts w:ascii="Symbol" w:hAnsi="Symbol" w:hint="default"/>
      </w:rPr>
    </w:lvl>
    <w:lvl w:ilvl="8" w:tplc="8402B9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8" w15:restartNumberingAfterBreak="0">
    <w:nsid w:val="2CCF4BBF"/>
    <w:multiLevelType w:val="hybridMultilevel"/>
    <w:tmpl w:val="ABC40EE2"/>
    <w:lvl w:ilvl="0" w:tplc="6306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13CE4"/>
    <w:multiLevelType w:val="hybridMultilevel"/>
    <w:tmpl w:val="69A69EC4"/>
    <w:lvl w:ilvl="0" w:tplc="A61CF6A2">
      <w:start w:val="1"/>
      <w:numFmt w:val="bullet"/>
      <w:lvlText w:val="-"/>
      <w:lvlJc w:val="left"/>
      <w:pPr>
        <w:ind w:left="820" w:hanging="420"/>
      </w:pPr>
      <w:rPr>
        <w:rFonts w:ascii="SimSun" w:eastAsia="SimSun" w:hAnsi="SimSun"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B45685"/>
    <w:multiLevelType w:val="hybridMultilevel"/>
    <w:tmpl w:val="0756C2D6"/>
    <w:lvl w:ilvl="0" w:tplc="03FC4F30">
      <w:start w:val="1"/>
      <w:numFmt w:val="bullet"/>
      <w:lvlText w:val="-"/>
      <w:lvlJc w:val="left"/>
      <w:pPr>
        <w:tabs>
          <w:tab w:val="num" w:pos="360"/>
        </w:tabs>
        <w:ind w:left="360" w:hanging="360"/>
      </w:pPr>
      <w:rPr>
        <w:rFonts w:ascii="Yu Gothic" w:hAnsi="Yu Gothic" w:hint="default"/>
      </w:rPr>
    </w:lvl>
    <w:lvl w:ilvl="1" w:tplc="58448F44">
      <w:start w:val="1"/>
      <w:numFmt w:val="bullet"/>
      <w:lvlText w:val="-"/>
      <w:lvlJc w:val="left"/>
      <w:pPr>
        <w:tabs>
          <w:tab w:val="num" w:pos="1080"/>
        </w:tabs>
        <w:ind w:left="1080" w:hanging="360"/>
      </w:pPr>
      <w:rPr>
        <w:rFonts w:ascii="Yu Gothic" w:hAnsi="Yu Gothic" w:hint="default"/>
      </w:rPr>
    </w:lvl>
    <w:lvl w:ilvl="2" w:tplc="B1E8C67E">
      <w:start w:val="1"/>
      <w:numFmt w:val="bullet"/>
      <w:lvlText w:val="-"/>
      <w:lvlJc w:val="left"/>
      <w:pPr>
        <w:tabs>
          <w:tab w:val="num" w:pos="1800"/>
        </w:tabs>
        <w:ind w:left="1800" w:hanging="360"/>
      </w:pPr>
      <w:rPr>
        <w:rFonts w:ascii="Yu Gothic" w:hAnsi="Yu Gothic" w:hint="default"/>
      </w:rPr>
    </w:lvl>
    <w:lvl w:ilvl="3" w:tplc="6242EAFC">
      <w:numFmt w:val="bullet"/>
      <w:lvlText w:val="-"/>
      <w:lvlJc w:val="left"/>
      <w:pPr>
        <w:tabs>
          <w:tab w:val="num" w:pos="2520"/>
        </w:tabs>
        <w:ind w:left="2520" w:hanging="360"/>
      </w:pPr>
      <w:rPr>
        <w:rFonts w:ascii="Yu Gothic" w:hAnsi="Yu Gothic" w:hint="default"/>
      </w:rPr>
    </w:lvl>
    <w:lvl w:ilvl="4" w:tplc="8098D988" w:tentative="1">
      <w:start w:val="1"/>
      <w:numFmt w:val="bullet"/>
      <w:lvlText w:val="-"/>
      <w:lvlJc w:val="left"/>
      <w:pPr>
        <w:tabs>
          <w:tab w:val="num" w:pos="3240"/>
        </w:tabs>
        <w:ind w:left="3240" w:hanging="360"/>
      </w:pPr>
      <w:rPr>
        <w:rFonts w:ascii="Yu Gothic" w:hAnsi="Yu Gothic" w:hint="default"/>
      </w:rPr>
    </w:lvl>
    <w:lvl w:ilvl="5" w:tplc="CE6ED3CC" w:tentative="1">
      <w:start w:val="1"/>
      <w:numFmt w:val="bullet"/>
      <w:lvlText w:val="-"/>
      <w:lvlJc w:val="left"/>
      <w:pPr>
        <w:tabs>
          <w:tab w:val="num" w:pos="3960"/>
        </w:tabs>
        <w:ind w:left="3960" w:hanging="360"/>
      </w:pPr>
      <w:rPr>
        <w:rFonts w:ascii="Yu Gothic" w:hAnsi="Yu Gothic" w:hint="default"/>
      </w:rPr>
    </w:lvl>
    <w:lvl w:ilvl="6" w:tplc="DB54C5A4" w:tentative="1">
      <w:start w:val="1"/>
      <w:numFmt w:val="bullet"/>
      <w:lvlText w:val="-"/>
      <w:lvlJc w:val="left"/>
      <w:pPr>
        <w:tabs>
          <w:tab w:val="num" w:pos="4680"/>
        </w:tabs>
        <w:ind w:left="4680" w:hanging="360"/>
      </w:pPr>
      <w:rPr>
        <w:rFonts w:ascii="Yu Gothic" w:hAnsi="Yu Gothic" w:hint="default"/>
      </w:rPr>
    </w:lvl>
    <w:lvl w:ilvl="7" w:tplc="98522A82" w:tentative="1">
      <w:start w:val="1"/>
      <w:numFmt w:val="bullet"/>
      <w:lvlText w:val="-"/>
      <w:lvlJc w:val="left"/>
      <w:pPr>
        <w:tabs>
          <w:tab w:val="num" w:pos="5400"/>
        </w:tabs>
        <w:ind w:left="5400" w:hanging="360"/>
      </w:pPr>
      <w:rPr>
        <w:rFonts w:ascii="Yu Gothic" w:hAnsi="Yu Gothic" w:hint="default"/>
      </w:rPr>
    </w:lvl>
    <w:lvl w:ilvl="8" w:tplc="014031D2" w:tentative="1">
      <w:start w:val="1"/>
      <w:numFmt w:val="bullet"/>
      <w:lvlText w:val="-"/>
      <w:lvlJc w:val="left"/>
      <w:pPr>
        <w:tabs>
          <w:tab w:val="num" w:pos="6120"/>
        </w:tabs>
        <w:ind w:left="6120" w:hanging="360"/>
      </w:pPr>
      <w:rPr>
        <w:rFonts w:ascii="Yu Gothic" w:hAnsi="Yu Gothic" w:hint="default"/>
      </w:rPr>
    </w:lvl>
  </w:abstractNum>
  <w:abstractNum w:abstractNumId="28" w15:restartNumberingAfterBreak="0">
    <w:nsid w:val="4DD47EA3"/>
    <w:multiLevelType w:val="hybridMultilevel"/>
    <w:tmpl w:val="0ED8E4BC"/>
    <w:lvl w:ilvl="0" w:tplc="86469D6E">
      <w:start w:val="1"/>
      <w:numFmt w:val="bullet"/>
      <w:lvlText w:val="-"/>
      <w:lvlJc w:val="left"/>
      <w:pPr>
        <w:tabs>
          <w:tab w:val="num" w:pos="360"/>
        </w:tabs>
        <w:ind w:left="360" w:hanging="360"/>
      </w:pPr>
      <w:rPr>
        <w:rFonts w:ascii="Times New Roman" w:hAnsi="Times New Roman" w:hint="default"/>
      </w:rPr>
    </w:lvl>
    <w:lvl w:ilvl="1" w:tplc="1FEE547A">
      <w:numFmt w:val="bullet"/>
      <w:lvlText w:val="-"/>
      <w:lvlJc w:val="left"/>
      <w:pPr>
        <w:tabs>
          <w:tab w:val="num" w:pos="1080"/>
        </w:tabs>
        <w:ind w:left="1080" w:hanging="360"/>
      </w:pPr>
      <w:rPr>
        <w:rFonts w:ascii="Times" w:hAnsi="Times" w:hint="default"/>
      </w:rPr>
    </w:lvl>
    <w:lvl w:ilvl="2" w:tplc="67105E88">
      <w:numFmt w:val="bullet"/>
      <w:lvlText w:val="-"/>
      <w:lvlJc w:val="left"/>
      <w:pPr>
        <w:tabs>
          <w:tab w:val="num" w:pos="1800"/>
        </w:tabs>
        <w:ind w:left="1800" w:hanging="360"/>
      </w:pPr>
      <w:rPr>
        <w:rFonts w:ascii="Times" w:hAnsi="Times" w:hint="default"/>
      </w:rPr>
    </w:lvl>
    <w:lvl w:ilvl="3" w:tplc="1D0812BA" w:tentative="1">
      <w:start w:val="1"/>
      <w:numFmt w:val="bullet"/>
      <w:lvlText w:val="-"/>
      <w:lvlJc w:val="left"/>
      <w:pPr>
        <w:tabs>
          <w:tab w:val="num" w:pos="2520"/>
        </w:tabs>
        <w:ind w:left="2520" w:hanging="360"/>
      </w:pPr>
      <w:rPr>
        <w:rFonts w:ascii="Times New Roman" w:hAnsi="Times New Roman" w:hint="default"/>
      </w:rPr>
    </w:lvl>
    <w:lvl w:ilvl="4" w:tplc="D9BEFDF2" w:tentative="1">
      <w:start w:val="1"/>
      <w:numFmt w:val="bullet"/>
      <w:lvlText w:val="-"/>
      <w:lvlJc w:val="left"/>
      <w:pPr>
        <w:tabs>
          <w:tab w:val="num" w:pos="3240"/>
        </w:tabs>
        <w:ind w:left="3240" w:hanging="360"/>
      </w:pPr>
      <w:rPr>
        <w:rFonts w:ascii="Times New Roman" w:hAnsi="Times New Roman" w:hint="default"/>
      </w:rPr>
    </w:lvl>
    <w:lvl w:ilvl="5" w:tplc="F6A0F59A" w:tentative="1">
      <w:start w:val="1"/>
      <w:numFmt w:val="bullet"/>
      <w:lvlText w:val="-"/>
      <w:lvlJc w:val="left"/>
      <w:pPr>
        <w:tabs>
          <w:tab w:val="num" w:pos="3960"/>
        </w:tabs>
        <w:ind w:left="3960" w:hanging="360"/>
      </w:pPr>
      <w:rPr>
        <w:rFonts w:ascii="Times New Roman" w:hAnsi="Times New Roman" w:hint="default"/>
      </w:rPr>
    </w:lvl>
    <w:lvl w:ilvl="6" w:tplc="B13CEFB2" w:tentative="1">
      <w:start w:val="1"/>
      <w:numFmt w:val="bullet"/>
      <w:lvlText w:val="-"/>
      <w:lvlJc w:val="left"/>
      <w:pPr>
        <w:tabs>
          <w:tab w:val="num" w:pos="4680"/>
        </w:tabs>
        <w:ind w:left="4680" w:hanging="360"/>
      </w:pPr>
      <w:rPr>
        <w:rFonts w:ascii="Times New Roman" w:hAnsi="Times New Roman" w:hint="default"/>
      </w:rPr>
    </w:lvl>
    <w:lvl w:ilvl="7" w:tplc="0A4E9398" w:tentative="1">
      <w:start w:val="1"/>
      <w:numFmt w:val="bullet"/>
      <w:lvlText w:val="-"/>
      <w:lvlJc w:val="left"/>
      <w:pPr>
        <w:tabs>
          <w:tab w:val="num" w:pos="5400"/>
        </w:tabs>
        <w:ind w:left="5400" w:hanging="360"/>
      </w:pPr>
      <w:rPr>
        <w:rFonts w:ascii="Times New Roman" w:hAnsi="Times New Roman" w:hint="default"/>
      </w:rPr>
    </w:lvl>
    <w:lvl w:ilvl="8" w:tplc="D6C851C4" w:tentative="1">
      <w:start w:val="1"/>
      <w:numFmt w:val="bullet"/>
      <w:lvlText w:val="-"/>
      <w:lvlJc w:val="left"/>
      <w:pPr>
        <w:tabs>
          <w:tab w:val="num" w:pos="6120"/>
        </w:tabs>
        <w:ind w:left="6120" w:hanging="360"/>
      </w:pPr>
      <w:rPr>
        <w:rFonts w:ascii="Times New Roman" w:hAnsi="Times New Roman" w:hint="default"/>
      </w:r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F2911"/>
    <w:multiLevelType w:val="hybridMultilevel"/>
    <w:tmpl w:val="6F86BFD0"/>
    <w:lvl w:ilvl="0" w:tplc="1B501D40">
      <w:start w:val="1"/>
      <w:numFmt w:val="bullet"/>
      <w:lvlText w:val=""/>
      <w:lvlJc w:val="left"/>
      <w:pPr>
        <w:tabs>
          <w:tab w:val="num" w:pos="720"/>
        </w:tabs>
        <w:ind w:left="720" w:hanging="360"/>
      </w:pPr>
      <w:rPr>
        <w:rFonts w:ascii="Wingdings" w:hAnsi="Wingdings" w:hint="default"/>
      </w:rPr>
    </w:lvl>
    <w:lvl w:ilvl="1" w:tplc="68B8E168">
      <w:numFmt w:val="bullet"/>
      <w:lvlText w:val=""/>
      <w:lvlJc w:val="left"/>
      <w:pPr>
        <w:tabs>
          <w:tab w:val="num" w:pos="1440"/>
        </w:tabs>
        <w:ind w:left="1440" w:hanging="360"/>
      </w:pPr>
      <w:rPr>
        <w:rFonts w:ascii="Wingdings" w:hAnsi="Wingdings" w:hint="default"/>
      </w:rPr>
    </w:lvl>
    <w:lvl w:ilvl="2" w:tplc="D4A8DAC6" w:tentative="1">
      <w:start w:val="1"/>
      <w:numFmt w:val="bullet"/>
      <w:lvlText w:val=""/>
      <w:lvlJc w:val="left"/>
      <w:pPr>
        <w:tabs>
          <w:tab w:val="num" w:pos="2160"/>
        </w:tabs>
        <w:ind w:left="2160" w:hanging="360"/>
      </w:pPr>
      <w:rPr>
        <w:rFonts w:ascii="Wingdings" w:hAnsi="Wingdings" w:hint="default"/>
      </w:rPr>
    </w:lvl>
    <w:lvl w:ilvl="3" w:tplc="7A4C558C" w:tentative="1">
      <w:start w:val="1"/>
      <w:numFmt w:val="bullet"/>
      <w:lvlText w:val=""/>
      <w:lvlJc w:val="left"/>
      <w:pPr>
        <w:tabs>
          <w:tab w:val="num" w:pos="2880"/>
        </w:tabs>
        <w:ind w:left="2880" w:hanging="360"/>
      </w:pPr>
      <w:rPr>
        <w:rFonts w:ascii="Wingdings" w:hAnsi="Wingdings" w:hint="default"/>
      </w:rPr>
    </w:lvl>
    <w:lvl w:ilvl="4" w:tplc="518027E6" w:tentative="1">
      <w:start w:val="1"/>
      <w:numFmt w:val="bullet"/>
      <w:lvlText w:val=""/>
      <w:lvlJc w:val="left"/>
      <w:pPr>
        <w:tabs>
          <w:tab w:val="num" w:pos="3600"/>
        </w:tabs>
        <w:ind w:left="3600" w:hanging="360"/>
      </w:pPr>
      <w:rPr>
        <w:rFonts w:ascii="Wingdings" w:hAnsi="Wingdings" w:hint="default"/>
      </w:rPr>
    </w:lvl>
    <w:lvl w:ilvl="5" w:tplc="143CABEE" w:tentative="1">
      <w:start w:val="1"/>
      <w:numFmt w:val="bullet"/>
      <w:lvlText w:val=""/>
      <w:lvlJc w:val="left"/>
      <w:pPr>
        <w:tabs>
          <w:tab w:val="num" w:pos="4320"/>
        </w:tabs>
        <w:ind w:left="4320" w:hanging="360"/>
      </w:pPr>
      <w:rPr>
        <w:rFonts w:ascii="Wingdings" w:hAnsi="Wingdings" w:hint="default"/>
      </w:rPr>
    </w:lvl>
    <w:lvl w:ilvl="6" w:tplc="6934549A" w:tentative="1">
      <w:start w:val="1"/>
      <w:numFmt w:val="bullet"/>
      <w:lvlText w:val=""/>
      <w:lvlJc w:val="left"/>
      <w:pPr>
        <w:tabs>
          <w:tab w:val="num" w:pos="5040"/>
        </w:tabs>
        <w:ind w:left="5040" w:hanging="360"/>
      </w:pPr>
      <w:rPr>
        <w:rFonts w:ascii="Wingdings" w:hAnsi="Wingdings" w:hint="default"/>
      </w:rPr>
    </w:lvl>
    <w:lvl w:ilvl="7" w:tplc="09F083BE" w:tentative="1">
      <w:start w:val="1"/>
      <w:numFmt w:val="bullet"/>
      <w:lvlText w:val=""/>
      <w:lvlJc w:val="left"/>
      <w:pPr>
        <w:tabs>
          <w:tab w:val="num" w:pos="5760"/>
        </w:tabs>
        <w:ind w:left="5760" w:hanging="360"/>
      </w:pPr>
      <w:rPr>
        <w:rFonts w:ascii="Wingdings" w:hAnsi="Wingdings" w:hint="default"/>
      </w:rPr>
    </w:lvl>
    <w:lvl w:ilvl="8" w:tplc="7550E8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8F2B9D"/>
    <w:multiLevelType w:val="hybridMultilevel"/>
    <w:tmpl w:val="A96C18FC"/>
    <w:lvl w:ilvl="0" w:tplc="F9FE2FA4">
      <w:start w:val="1"/>
      <w:numFmt w:val="bullet"/>
      <w:lvlText w:val="-"/>
      <w:lvlJc w:val="left"/>
      <w:pPr>
        <w:tabs>
          <w:tab w:val="num" w:pos="720"/>
        </w:tabs>
        <w:ind w:left="720" w:hanging="360"/>
      </w:pPr>
      <w:rPr>
        <w:rFonts w:ascii="Times New Roman" w:hAnsi="Times New Roman" w:hint="default"/>
      </w:rPr>
    </w:lvl>
    <w:lvl w:ilvl="1" w:tplc="056667E6">
      <w:numFmt w:val="bullet"/>
      <w:lvlText w:val="-"/>
      <w:lvlJc w:val="left"/>
      <w:pPr>
        <w:tabs>
          <w:tab w:val="num" w:pos="1440"/>
        </w:tabs>
        <w:ind w:left="1440" w:hanging="360"/>
      </w:pPr>
      <w:rPr>
        <w:rFonts w:ascii="Times" w:hAnsi="Times" w:hint="default"/>
      </w:rPr>
    </w:lvl>
    <w:lvl w:ilvl="2" w:tplc="7408D0B4">
      <w:numFmt w:val="bullet"/>
      <w:lvlText w:val="-"/>
      <w:lvlJc w:val="left"/>
      <w:pPr>
        <w:tabs>
          <w:tab w:val="num" w:pos="2160"/>
        </w:tabs>
        <w:ind w:left="2160" w:hanging="360"/>
      </w:pPr>
      <w:rPr>
        <w:rFonts w:ascii="Times" w:hAnsi="Times" w:hint="default"/>
      </w:rPr>
    </w:lvl>
    <w:lvl w:ilvl="3" w:tplc="41084ED6" w:tentative="1">
      <w:start w:val="1"/>
      <w:numFmt w:val="bullet"/>
      <w:lvlText w:val="-"/>
      <w:lvlJc w:val="left"/>
      <w:pPr>
        <w:tabs>
          <w:tab w:val="num" w:pos="2880"/>
        </w:tabs>
        <w:ind w:left="2880" w:hanging="360"/>
      </w:pPr>
      <w:rPr>
        <w:rFonts w:ascii="Times New Roman" w:hAnsi="Times New Roman" w:hint="default"/>
      </w:rPr>
    </w:lvl>
    <w:lvl w:ilvl="4" w:tplc="E0ACB35C" w:tentative="1">
      <w:start w:val="1"/>
      <w:numFmt w:val="bullet"/>
      <w:lvlText w:val="-"/>
      <w:lvlJc w:val="left"/>
      <w:pPr>
        <w:tabs>
          <w:tab w:val="num" w:pos="3600"/>
        </w:tabs>
        <w:ind w:left="3600" w:hanging="360"/>
      </w:pPr>
      <w:rPr>
        <w:rFonts w:ascii="Times New Roman" w:hAnsi="Times New Roman" w:hint="default"/>
      </w:rPr>
    </w:lvl>
    <w:lvl w:ilvl="5" w:tplc="49689BF4" w:tentative="1">
      <w:start w:val="1"/>
      <w:numFmt w:val="bullet"/>
      <w:lvlText w:val="-"/>
      <w:lvlJc w:val="left"/>
      <w:pPr>
        <w:tabs>
          <w:tab w:val="num" w:pos="4320"/>
        </w:tabs>
        <w:ind w:left="4320" w:hanging="360"/>
      </w:pPr>
      <w:rPr>
        <w:rFonts w:ascii="Times New Roman" w:hAnsi="Times New Roman" w:hint="default"/>
      </w:rPr>
    </w:lvl>
    <w:lvl w:ilvl="6" w:tplc="49C4655E" w:tentative="1">
      <w:start w:val="1"/>
      <w:numFmt w:val="bullet"/>
      <w:lvlText w:val="-"/>
      <w:lvlJc w:val="left"/>
      <w:pPr>
        <w:tabs>
          <w:tab w:val="num" w:pos="5040"/>
        </w:tabs>
        <w:ind w:left="5040" w:hanging="360"/>
      </w:pPr>
      <w:rPr>
        <w:rFonts w:ascii="Times New Roman" w:hAnsi="Times New Roman" w:hint="default"/>
      </w:rPr>
    </w:lvl>
    <w:lvl w:ilvl="7" w:tplc="5ECAC284" w:tentative="1">
      <w:start w:val="1"/>
      <w:numFmt w:val="bullet"/>
      <w:lvlText w:val="-"/>
      <w:lvlJc w:val="left"/>
      <w:pPr>
        <w:tabs>
          <w:tab w:val="num" w:pos="5760"/>
        </w:tabs>
        <w:ind w:left="5760" w:hanging="360"/>
      </w:pPr>
      <w:rPr>
        <w:rFonts w:ascii="Times New Roman" w:hAnsi="Times New Roman" w:hint="default"/>
      </w:rPr>
    </w:lvl>
    <w:lvl w:ilvl="8" w:tplc="DD2EAD0E" w:tentative="1">
      <w:start w:val="1"/>
      <w:numFmt w:val="bullet"/>
      <w:lvlText w:val="-"/>
      <w:lvlJc w:val="left"/>
      <w:pPr>
        <w:tabs>
          <w:tab w:val="num" w:pos="6480"/>
        </w:tabs>
        <w:ind w:left="6480" w:hanging="360"/>
      </w:pPr>
      <w:rPr>
        <w:rFonts w:ascii="Times New Roman" w:hAnsi="Times New Roman" w:hint="default"/>
      </w:rPr>
    </w:lvl>
  </w:abstractNum>
  <w:num w:numId="1" w16cid:durableId="492914943">
    <w:abstractNumId w:val="0"/>
  </w:num>
  <w:num w:numId="2" w16cid:durableId="1600940535">
    <w:abstractNumId w:val="26"/>
  </w:num>
  <w:num w:numId="3" w16cid:durableId="1844780636">
    <w:abstractNumId w:val="23"/>
  </w:num>
  <w:num w:numId="4" w16cid:durableId="1874809944">
    <w:abstractNumId w:val="29"/>
  </w:num>
  <w:num w:numId="5" w16cid:durableId="422917261">
    <w:abstractNumId w:val="25"/>
  </w:num>
  <w:num w:numId="6" w16cid:durableId="886377851">
    <w:abstractNumId w:val="8"/>
  </w:num>
  <w:num w:numId="7" w16cid:durableId="867260724">
    <w:abstractNumId w:val="7"/>
  </w:num>
  <w:num w:numId="8" w16cid:durableId="2022966873">
    <w:abstractNumId w:val="17"/>
  </w:num>
  <w:num w:numId="9" w16cid:durableId="1886287635">
    <w:abstractNumId w:val="21"/>
  </w:num>
  <w:num w:numId="10" w16cid:durableId="1358003460">
    <w:abstractNumId w:val="22"/>
  </w:num>
  <w:num w:numId="11" w16cid:durableId="347290869">
    <w:abstractNumId w:val="4"/>
  </w:num>
  <w:num w:numId="12" w16cid:durableId="480929308">
    <w:abstractNumId w:val="24"/>
  </w:num>
  <w:num w:numId="13" w16cid:durableId="989941183">
    <w:abstractNumId w:val="30"/>
  </w:num>
  <w:num w:numId="14" w16cid:durableId="1282570439">
    <w:abstractNumId w:val="13"/>
  </w:num>
  <w:num w:numId="15" w16cid:durableId="338894162">
    <w:abstractNumId w:val="2"/>
  </w:num>
  <w:num w:numId="16" w16cid:durableId="1872763069">
    <w:abstractNumId w:val="32"/>
  </w:num>
  <w:num w:numId="17" w16cid:durableId="265425886">
    <w:abstractNumId w:val="5"/>
  </w:num>
  <w:num w:numId="18" w16cid:durableId="815026826">
    <w:abstractNumId w:val="18"/>
  </w:num>
  <w:num w:numId="19" w16cid:durableId="1983386938">
    <w:abstractNumId w:val="9"/>
  </w:num>
  <w:num w:numId="20" w16cid:durableId="1687637944">
    <w:abstractNumId w:val="33"/>
  </w:num>
  <w:num w:numId="21" w16cid:durableId="2100716638">
    <w:abstractNumId w:val="20"/>
  </w:num>
  <w:num w:numId="22" w16cid:durableId="959145023">
    <w:abstractNumId w:val="10"/>
  </w:num>
  <w:num w:numId="23" w16cid:durableId="373046682">
    <w:abstractNumId w:val="3"/>
  </w:num>
  <w:num w:numId="24" w16cid:durableId="155414778">
    <w:abstractNumId w:val="14"/>
  </w:num>
  <w:num w:numId="25" w16cid:durableId="439296060">
    <w:abstractNumId w:val="34"/>
  </w:num>
  <w:num w:numId="26" w16cid:durableId="1971782274">
    <w:abstractNumId w:val="28"/>
  </w:num>
  <w:num w:numId="27" w16cid:durableId="1248614643">
    <w:abstractNumId w:val="31"/>
  </w:num>
  <w:num w:numId="28" w16cid:durableId="355736738">
    <w:abstractNumId w:val="6"/>
  </w:num>
  <w:num w:numId="29" w16cid:durableId="1895071667">
    <w:abstractNumId w:val="11"/>
  </w:num>
  <w:num w:numId="30" w16cid:durableId="1249198404">
    <w:abstractNumId w:val="15"/>
  </w:num>
  <w:num w:numId="31" w16cid:durableId="273757578">
    <w:abstractNumId w:val="19"/>
  </w:num>
  <w:num w:numId="32" w16cid:durableId="881408334">
    <w:abstractNumId w:val="1"/>
  </w:num>
  <w:num w:numId="33" w16cid:durableId="1963147274">
    <w:abstractNumId w:val="16"/>
  </w:num>
  <w:num w:numId="34" w16cid:durableId="146555522">
    <w:abstractNumId w:val="27"/>
  </w:num>
  <w:num w:numId="35" w16cid:durableId="149448812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2FED"/>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35D"/>
    <w:rsid w:val="00017975"/>
    <w:rsid w:val="00017CCA"/>
    <w:rsid w:val="00021984"/>
    <w:rsid w:val="00021F18"/>
    <w:rsid w:val="00022340"/>
    <w:rsid w:val="00022588"/>
    <w:rsid w:val="00022C11"/>
    <w:rsid w:val="00023C25"/>
    <w:rsid w:val="00024409"/>
    <w:rsid w:val="00024B0C"/>
    <w:rsid w:val="00024B0F"/>
    <w:rsid w:val="00025BF1"/>
    <w:rsid w:val="00025E1F"/>
    <w:rsid w:val="00025FF3"/>
    <w:rsid w:val="0002661D"/>
    <w:rsid w:val="00026CA0"/>
    <w:rsid w:val="00027ABB"/>
    <w:rsid w:val="000301FB"/>
    <w:rsid w:val="000302E1"/>
    <w:rsid w:val="000303A7"/>
    <w:rsid w:val="000325A2"/>
    <w:rsid w:val="0003390A"/>
    <w:rsid w:val="00033E68"/>
    <w:rsid w:val="0003430E"/>
    <w:rsid w:val="00034C8B"/>
    <w:rsid w:val="00037B1F"/>
    <w:rsid w:val="000406DF"/>
    <w:rsid w:val="00041B34"/>
    <w:rsid w:val="00041DD5"/>
    <w:rsid w:val="0004254D"/>
    <w:rsid w:val="0004274C"/>
    <w:rsid w:val="000428AB"/>
    <w:rsid w:val="000439C4"/>
    <w:rsid w:val="000446B1"/>
    <w:rsid w:val="00045997"/>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2A01"/>
    <w:rsid w:val="00062B28"/>
    <w:rsid w:val="00063073"/>
    <w:rsid w:val="00063ADC"/>
    <w:rsid w:val="00064C81"/>
    <w:rsid w:val="00066048"/>
    <w:rsid w:val="00067A67"/>
    <w:rsid w:val="00067EFC"/>
    <w:rsid w:val="0007040D"/>
    <w:rsid w:val="00071ACD"/>
    <w:rsid w:val="00072EE0"/>
    <w:rsid w:val="0007358C"/>
    <w:rsid w:val="00073E87"/>
    <w:rsid w:val="000744C5"/>
    <w:rsid w:val="00074E4E"/>
    <w:rsid w:val="0007517B"/>
    <w:rsid w:val="0007577D"/>
    <w:rsid w:val="00075B16"/>
    <w:rsid w:val="00075BD8"/>
    <w:rsid w:val="00075E38"/>
    <w:rsid w:val="00075F2E"/>
    <w:rsid w:val="00075F8E"/>
    <w:rsid w:val="00076800"/>
    <w:rsid w:val="00077B42"/>
    <w:rsid w:val="00080A1C"/>
    <w:rsid w:val="00080A67"/>
    <w:rsid w:val="000816F5"/>
    <w:rsid w:val="00081CC8"/>
    <w:rsid w:val="00082DD7"/>
    <w:rsid w:val="00082FDE"/>
    <w:rsid w:val="00083466"/>
    <w:rsid w:val="00084731"/>
    <w:rsid w:val="00085522"/>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1969"/>
    <w:rsid w:val="000A21A1"/>
    <w:rsid w:val="000A3A5B"/>
    <w:rsid w:val="000A453B"/>
    <w:rsid w:val="000A4B78"/>
    <w:rsid w:val="000A4F41"/>
    <w:rsid w:val="000A5FAE"/>
    <w:rsid w:val="000A6357"/>
    <w:rsid w:val="000A6EB0"/>
    <w:rsid w:val="000A73E7"/>
    <w:rsid w:val="000A741E"/>
    <w:rsid w:val="000A74F4"/>
    <w:rsid w:val="000B0C58"/>
    <w:rsid w:val="000B0FE1"/>
    <w:rsid w:val="000B13CA"/>
    <w:rsid w:val="000B1B53"/>
    <w:rsid w:val="000B2754"/>
    <w:rsid w:val="000B27BA"/>
    <w:rsid w:val="000B324F"/>
    <w:rsid w:val="000B454C"/>
    <w:rsid w:val="000B7071"/>
    <w:rsid w:val="000B7ABF"/>
    <w:rsid w:val="000C1F1A"/>
    <w:rsid w:val="000C24F4"/>
    <w:rsid w:val="000C374E"/>
    <w:rsid w:val="000C51C7"/>
    <w:rsid w:val="000C636A"/>
    <w:rsid w:val="000C64E7"/>
    <w:rsid w:val="000C7155"/>
    <w:rsid w:val="000C732F"/>
    <w:rsid w:val="000D15FB"/>
    <w:rsid w:val="000D1C48"/>
    <w:rsid w:val="000D1FCA"/>
    <w:rsid w:val="000D254D"/>
    <w:rsid w:val="000D2B6A"/>
    <w:rsid w:val="000D3A6C"/>
    <w:rsid w:val="000D417C"/>
    <w:rsid w:val="000D4221"/>
    <w:rsid w:val="000D5EFB"/>
    <w:rsid w:val="000D63B4"/>
    <w:rsid w:val="000D66D1"/>
    <w:rsid w:val="000D7CD4"/>
    <w:rsid w:val="000E181E"/>
    <w:rsid w:val="000E1ACC"/>
    <w:rsid w:val="000E1FD4"/>
    <w:rsid w:val="000E2E4E"/>
    <w:rsid w:val="000E330A"/>
    <w:rsid w:val="000E51A0"/>
    <w:rsid w:val="000E5E0F"/>
    <w:rsid w:val="000E60CF"/>
    <w:rsid w:val="000E76B6"/>
    <w:rsid w:val="000F04A7"/>
    <w:rsid w:val="000F2744"/>
    <w:rsid w:val="000F7127"/>
    <w:rsid w:val="000F72B9"/>
    <w:rsid w:val="000F779E"/>
    <w:rsid w:val="00100768"/>
    <w:rsid w:val="00101732"/>
    <w:rsid w:val="0010219A"/>
    <w:rsid w:val="00102AE9"/>
    <w:rsid w:val="00103187"/>
    <w:rsid w:val="00103B23"/>
    <w:rsid w:val="001068DF"/>
    <w:rsid w:val="00107379"/>
    <w:rsid w:val="00110E8A"/>
    <w:rsid w:val="00111375"/>
    <w:rsid w:val="00112CC3"/>
    <w:rsid w:val="00114F04"/>
    <w:rsid w:val="00115480"/>
    <w:rsid w:val="0011779F"/>
    <w:rsid w:val="00117D2D"/>
    <w:rsid w:val="00121999"/>
    <w:rsid w:val="00122A7B"/>
    <w:rsid w:val="00123BDB"/>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5D0"/>
    <w:rsid w:val="0013563E"/>
    <w:rsid w:val="001365AE"/>
    <w:rsid w:val="00136666"/>
    <w:rsid w:val="001367B7"/>
    <w:rsid w:val="0013707A"/>
    <w:rsid w:val="00141672"/>
    <w:rsid w:val="00141873"/>
    <w:rsid w:val="00142274"/>
    <w:rsid w:val="00142E45"/>
    <w:rsid w:val="0014579E"/>
    <w:rsid w:val="00145973"/>
    <w:rsid w:val="00146A64"/>
    <w:rsid w:val="001474E8"/>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5B3"/>
    <w:rsid w:val="00160D16"/>
    <w:rsid w:val="00161D08"/>
    <w:rsid w:val="00163791"/>
    <w:rsid w:val="0016504C"/>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6A14"/>
    <w:rsid w:val="001779D2"/>
    <w:rsid w:val="00177A6C"/>
    <w:rsid w:val="001801D8"/>
    <w:rsid w:val="001805DF"/>
    <w:rsid w:val="00180876"/>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4F13"/>
    <w:rsid w:val="001A5374"/>
    <w:rsid w:val="001A53AC"/>
    <w:rsid w:val="001A76E2"/>
    <w:rsid w:val="001B2423"/>
    <w:rsid w:val="001B474F"/>
    <w:rsid w:val="001B5AAC"/>
    <w:rsid w:val="001B63D7"/>
    <w:rsid w:val="001B6658"/>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36B"/>
    <w:rsid w:val="001D2DF0"/>
    <w:rsid w:val="001D38D1"/>
    <w:rsid w:val="001D5108"/>
    <w:rsid w:val="001D5444"/>
    <w:rsid w:val="001D58DE"/>
    <w:rsid w:val="001D5D4C"/>
    <w:rsid w:val="001D767F"/>
    <w:rsid w:val="001E0290"/>
    <w:rsid w:val="001E02CC"/>
    <w:rsid w:val="001E09EE"/>
    <w:rsid w:val="001E1D50"/>
    <w:rsid w:val="001E21F2"/>
    <w:rsid w:val="001E4A12"/>
    <w:rsid w:val="001E56E7"/>
    <w:rsid w:val="001E6D31"/>
    <w:rsid w:val="001E6F85"/>
    <w:rsid w:val="001F0AF1"/>
    <w:rsid w:val="001F14E8"/>
    <w:rsid w:val="001F1723"/>
    <w:rsid w:val="001F20A0"/>
    <w:rsid w:val="001F21B6"/>
    <w:rsid w:val="001F2DC9"/>
    <w:rsid w:val="001F33B5"/>
    <w:rsid w:val="001F34C6"/>
    <w:rsid w:val="001F3C06"/>
    <w:rsid w:val="001F47CF"/>
    <w:rsid w:val="002000FD"/>
    <w:rsid w:val="002008B6"/>
    <w:rsid w:val="00200A4F"/>
    <w:rsid w:val="00200B39"/>
    <w:rsid w:val="00200CB6"/>
    <w:rsid w:val="00200E21"/>
    <w:rsid w:val="0020153D"/>
    <w:rsid w:val="00202FDE"/>
    <w:rsid w:val="0020487D"/>
    <w:rsid w:val="00205C87"/>
    <w:rsid w:val="00207BC1"/>
    <w:rsid w:val="00210523"/>
    <w:rsid w:val="002118DA"/>
    <w:rsid w:val="00211CAF"/>
    <w:rsid w:val="00212C35"/>
    <w:rsid w:val="002135B2"/>
    <w:rsid w:val="00213963"/>
    <w:rsid w:val="00214992"/>
    <w:rsid w:val="00215DF1"/>
    <w:rsid w:val="0021680F"/>
    <w:rsid w:val="00216931"/>
    <w:rsid w:val="00216B9A"/>
    <w:rsid w:val="00217DE7"/>
    <w:rsid w:val="00221216"/>
    <w:rsid w:val="00221F94"/>
    <w:rsid w:val="002222E5"/>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1947"/>
    <w:rsid w:val="00243C77"/>
    <w:rsid w:val="00244B52"/>
    <w:rsid w:val="002454B7"/>
    <w:rsid w:val="00245A23"/>
    <w:rsid w:val="00245C9E"/>
    <w:rsid w:val="0024665F"/>
    <w:rsid w:val="00246919"/>
    <w:rsid w:val="00247BEF"/>
    <w:rsid w:val="0025169F"/>
    <w:rsid w:val="00253760"/>
    <w:rsid w:val="0025453B"/>
    <w:rsid w:val="00254662"/>
    <w:rsid w:val="00255727"/>
    <w:rsid w:val="00255ACF"/>
    <w:rsid w:val="0025759F"/>
    <w:rsid w:val="00261BD7"/>
    <w:rsid w:val="00262956"/>
    <w:rsid w:val="00263C42"/>
    <w:rsid w:val="00263CED"/>
    <w:rsid w:val="00264970"/>
    <w:rsid w:val="00264B86"/>
    <w:rsid w:val="00265983"/>
    <w:rsid w:val="002667F2"/>
    <w:rsid w:val="00267F25"/>
    <w:rsid w:val="00270549"/>
    <w:rsid w:val="00270852"/>
    <w:rsid w:val="00270953"/>
    <w:rsid w:val="0027161A"/>
    <w:rsid w:val="0027268C"/>
    <w:rsid w:val="002733F5"/>
    <w:rsid w:val="002746A4"/>
    <w:rsid w:val="00274E12"/>
    <w:rsid w:val="00274E99"/>
    <w:rsid w:val="00274F04"/>
    <w:rsid w:val="00275240"/>
    <w:rsid w:val="0027560C"/>
    <w:rsid w:val="00275F95"/>
    <w:rsid w:val="00276D7A"/>
    <w:rsid w:val="00277BFB"/>
    <w:rsid w:val="00280A4B"/>
    <w:rsid w:val="00281BF3"/>
    <w:rsid w:val="00282541"/>
    <w:rsid w:val="00282760"/>
    <w:rsid w:val="00282C6C"/>
    <w:rsid w:val="00282DB4"/>
    <w:rsid w:val="00283302"/>
    <w:rsid w:val="00283C31"/>
    <w:rsid w:val="00283FD3"/>
    <w:rsid w:val="0028492F"/>
    <w:rsid w:val="00284C6E"/>
    <w:rsid w:val="00286A2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A40"/>
    <w:rsid w:val="002A5BB1"/>
    <w:rsid w:val="002A7FF7"/>
    <w:rsid w:val="002B0AC8"/>
    <w:rsid w:val="002B0BEC"/>
    <w:rsid w:val="002B1322"/>
    <w:rsid w:val="002B3012"/>
    <w:rsid w:val="002B4E2A"/>
    <w:rsid w:val="002B5050"/>
    <w:rsid w:val="002B5ECA"/>
    <w:rsid w:val="002B74C5"/>
    <w:rsid w:val="002B7AB5"/>
    <w:rsid w:val="002C0120"/>
    <w:rsid w:val="002C1735"/>
    <w:rsid w:val="002C1A69"/>
    <w:rsid w:val="002C20EA"/>
    <w:rsid w:val="002C2696"/>
    <w:rsid w:val="002C2BA3"/>
    <w:rsid w:val="002C3764"/>
    <w:rsid w:val="002C3C60"/>
    <w:rsid w:val="002C57BD"/>
    <w:rsid w:val="002C6C08"/>
    <w:rsid w:val="002C7387"/>
    <w:rsid w:val="002C74AE"/>
    <w:rsid w:val="002D0068"/>
    <w:rsid w:val="002D0A58"/>
    <w:rsid w:val="002D1CD7"/>
    <w:rsid w:val="002D1E4C"/>
    <w:rsid w:val="002D2DAE"/>
    <w:rsid w:val="002D34A1"/>
    <w:rsid w:val="002D3DDA"/>
    <w:rsid w:val="002D4BBA"/>
    <w:rsid w:val="002D4DAD"/>
    <w:rsid w:val="002D4DF8"/>
    <w:rsid w:val="002D6418"/>
    <w:rsid w:val="002D6926"/>
    <w:rsid w:val="002D7187"/>
    <w:rsid w:val="002D7382"/>
    <w:rsid w:val="002E17DC"/>
    <w:rsid w:val="002E1BEE"/>
    <w:rsid w:val="002E3468"/>
    <w:rsid w:val="002E4536"/>
    <w:rsid w:val="002E5191"/>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1593"/>
    <w:rsid w:val="003029BD"/>
    <w:rsid w:val="00302AED"/>
    <w:rsid w:val="00302AEF"/>
    <w:rsid w:val="00302F83"/>
    <w:rsid w:val="00303352"/>
    <w:rsid w:val="0030383B"/>
    <w:rsid w:val="0030392F"/>
    <w:rsid w:val="00303F91"/>
    <w:rsid w:val="00304B56"/>
    <w:rsid w:val="00304D15"/>
    <w:rsid w:val="003054D4"/>
    <w:rsid w:val="00305F42"/>
    <w:rsid w:val="0030659B"/>
    <w:rsid w:val="00306ACC"/>
    <w:rsid w:val="00306BAA"/>
    <w:rsid w:val="00307E9B"/>
    <w:rsid w:val="003103E4"/>
    <w:rsid w:val="00310D97"/>
    <w:rsid w:val="00311691"/>
    <w:rsid w:val="00311983"/>
    <w:rsid w:val="00311E97"/>
    <w:rsid w:val="003132E0"/>
    <w:rsid w:val="00313B93"/>
    <w:rsid w:val="00314659"/>
    <w:rsid w:val="003146C4"/>
    <w:rsid w:val="00315A46"/>
    <w:rsid w:val="0031637C"/>
    <w:rsid w:val="00316778"/>
    <w:rsid w:val="00317042"/>
    <w:rsid w:val="003176B4"/>
    <w:rsid w:val="003177AC"/>
    <w:rsid w:val="0032184D"/>
    <w:rsid w:val="00321C77"/>
    <w:rsid w:val="00322614"/>
    <w:rsid w:val="003230B0"/>
    <w:rsid w:val="003231DA"/>
    <w:rsid w:val="00323352"/>
    <w:rsid w:val="00323A3C"/>
    <w:rsid w:val="00323E7F"/>
    <w:rsid w:val="00325D82"/>
    <w:rsid w:val="00326ACC"/>
    <w:rsid w:val="00327467"/>
    <w:rsid w:val="00333720"/>
    <w:rsid w:val="00333BE4"/>
    <w:rsid w:val="003346F0"/>
    <w:rsid w:val="00335E4D"/>
    <w:rsid w:val="00336C06"/>
    <w:rsid w:val="003378AE"/>
    <w:rsid w:val="00340131"/>
    <w:rsid w:val="0034056F"/>
    <w:rsid w:val="00340C15"/>
    <w:rsid w:val="00340D1D"/>
    <w:rsid w:val="00342EA7"/>
    <w:rsid w:val="0034330B"/>
    <w:rsid w:val="00343573"/>
    <w:rsid w:val="00343950"/>
    <w:rsid w:val="00343E40"/>
    <w:rsid w:val="00344701"/>
    <w:rsid w:val="003454BB"/>
    <w:rsid w:val="003454D4"/>
    <w:rsid w:val="00345EB1"/>
    <w:rsid w:val="003521B4"/>
    <w:rsid w:val="00352F0D"/>
    <w:rsid w:val="00353248"/>
    <w:rsid w:val="0035383D"/>
    <w:rsid w:val="00354470"/>
    <w:rsid w:val="003556F0"/>
    <w:rsid w:val="00355FB3"/>
    <w:rsid w:val="003572AA"/>
    <w:rsid w:val="003605F6"/>
    <w:rsid w:val="00361572"/>
    <w:rsid w:val="003629D7"/>
    <w:rsid w:val="00364B47"/>
    <w:rsid w:val="00364DB0"/>
    <w:rsid w:val="00365DF8"/>
    <w:rsid w:val="00367B6E"/>
    <w:rsid w:val="00367C9F"/>
    <w:rsid w:val="00367D25"/>
    <w:rsid w:val="003710A6"/>
    <w:rsid w:val="0037351D"/>
    <w:rsid w:val="00374F03"/>
    <w:rsid w:val="003768E8"/>
    <w:rsid w:val="003818DD"/>
    <w:rsid w:val="00382C1D"/>
    <w:rsid w:val="0038368D"/>
    <w:rsid w:val="0038425D"/>
    <w:rsid w:val="00384352"/>
    <w:rsid w:val="00385062"/>
    <w:rsid w:val="00385665"/>
    <w:rsid w:val="003864EF"/>
    <w:rsid w:val="0038680F"/>
    <w:rsid w:val="00386A1D"/>
    <w:rsid w:val="00386F4D"/>
    <w:rsid w:val="00387611"/>
    <w:rsid w:val="00387AB3"/>
    <w:rsid w:val="00387CAF"/>
    <w:rsid w:val="00387D1C"/>
    <w:rsid w:val="003905FF"/>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50F"/>
    <w:rsid w:val="003A38B9"/>
    <w:rsid w:val="003A41EE"/>
    <w:rsid w:val="003A44BB"/>
    <w:rsid w:val="003A4F97"/>
    <w:rsid w:val="003A5D6D"/>
    <w:rsid w:val="003A67CE"/>
    <w:rsid w:val="003A7E44"/>
    <w:rsid w:val="003B03B2"/>
    <w:rsid w:val="003B228E"/>
    <w:rsid w:val="003B3F2B"/>
    <w:rsid w:val="003B445D"/>
    <w:rsid w:val="003B4F3C"/>
    <w:rsid w:val="003B58FB"/>
    <w:rsid w:val="003B5969"/>
    <w:rsid w:val="003B6E8E"/>
    <w:rsid w:val="003B6EA8"/>
    <w:rsid w:val="003C378B"/>
    <w:rsid w:val="003C43F6"/>
    <w:rsid w:val="003C4CCB"/>
    <w:rsid w:val="003C4E52"/>
    <w:rsid w:val="003C581A"/>
    <w:rsid w:val="003C753A"/>
    <w:rsid w:val="003C77A7"/>
    <w:rsid w:val="003D04A2"/>
    <w:rsid w:val="003D06D6"/>
    <w:rsid w:val="003D0E3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18"/>
    <w:rsid w:val="003F1574"/>
    <w:rsid w:val="003F3044"/>
    <w:rsid w:val="003F366F"/>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5F8D"/>
    <w:rsid w:val="004168F2"/>
    <w:rsid w:val="0042007C"/>
    <w:rsid w:val="0042191B"/>
    <w:rsid w:val="00421E23"/>
    <w:rsid w:val="00423362"/>
    <w:rsid w:val="00423920"/>
    <w:rsid w:val="00423E12"/>
    <w:rsid w:val="004249AF"/>
    <w:rsid w:val="00425454"/>
    <w:rsid w:val="00425935"/>
    <w:rsid w:val="00425E35"/>
    <w:rsid w:val="00426A8E"/>
    <w:rsid w:val="00430299"/>
    <w:rsid w:val="00430B56"/>
    <w:rsid w:val="00431668"/>
    <w:rsid w:val="00431695"/>
    <w:rsid w:val="0043299F"/>
    <w:rsid w:val="00433617"/>
    <w:rsid w:val="00435696"/>
    <w:rsid w:val="00435A9B"/>
    <w:rsid w:val="004361B3"/>
    <w:rsid w:val="00437CE5"/>
    <w:rsid w:val="00437CF2"/>
    <w:rsid w:val="00437E52"/>
    <w:rsid w:val="00441039"/>
    <w:rsid w:val="00441A5D"/>
    <w:rsid w:val="00441E76"/>
    <w:rsid w:val="004426C7"/>
    <w:rsid w:val="00442D44"/>
    <w:rsid w:val="00442F5E"/>
    <w:rsid w:val="004431E6"/>
    <w:rsid w:val="00443487"/>
    <w:rsid w:val="0044448E"/>
    <w:rsid w:val="0044471B"/>
    <w:rsid w:val="00444FA3"/>
    <w:rsid w:val="004452A4"/>
    <w:rsid w:val="00445CE8"/>
    <w:rsid w:val="0044621F"/>
    <w:rsid w:val="00447FBC"/>
    <w:rsid w:val="0045097C"/>
    <w:rsid w:val="00450BEC"/>
    <w:rsid w:val="00451C33"/>
    <w:rsid w:val="00452F6F"/>
    <w:rsid w:val="004542E5"/>
    <w:rsid w:val="0045444F"/>
    <w:rsid w:val="00454611"/>
    <w:rsid w:val="004552FF"/>
    <w:rsid w:val="00455C92"/>
    <w:rsid w:val="004560DC"/>
    <w:rsid w:val="00456D28"/>
    <w:rsid w:val="00456DFD"/>
    <w:rsid w:val="00457A7B"/>
    <w:rsid w:val="0046121E"/>
    <w:rsid w:val="00462210"/>
    <w:rsid w:val="004629F3"/>
    <w:rsid w:val="00463079"/>
    <w:rsid w:val="004635C4"/>
    <w:rsid w:val="0046393F"/>
    <w:rsid w:val="00463A0D"/>
    <w:rsid w:val="004658FE"/>
    <w:rsid w:val="00465C4E"/>
    <w:rsid w:val="00466A44"/>
    <w:rsid w:val="00470311"/>
    <w:rsid w:val="0047108F"/>
    <w:rsid w:val="00471966"/>
    <w:rsid w:val="00473705"/>
    <w:rsid w:val="00473C0B"/>
    <w:rsid w:val="00473F13"/>
    <w:rsid w:val="0047595F"/>
    <w:rsid w:val="004769D9"/>
    <w:rsid w:val="004771F4"/>
    <w:rsid w:val="004779AE"/>
    <w:rsid w:val="00477C73"/>
    <w:rsid w:val="0048034D"/>
    <w:rsid w:val="004803D2"/>
    <w:rsid w:val="00480B97"/>
    <w:rsid w:val="00480DE5"/>
    <w:rsid w:val="0048117F"/>
    <w:rsid w:val="00481D34"/>
    <w:rsid w:val="0048613C"/>
    <w:rsid w:val="00487AF8"/>
    <w:rsid w:val="0049003E"/>
    <w:rsid w:val="00490E4D"/>
    <w:rsid w:val="0049164E"/>
    <w:rsid w:val="0049211B"/>
    <w:rsid w:val="00492342"/>
    <w:rsid w:val="00494356"/>
    <w:rsid w:val="00494543"/>
    <w:rsid w:val="004950FA"/>
    <w:rsid w:val="00495247"/>
    <w:rsid w:val="0049525A"/>
    <w:rsid w:val="00495BB6"/>
    <w:rsid w:val="0049621A"/>
    <w:rsid w:val="00497D5C"/>
    <w:rsid w:val="004A2662"/>
    <w:rsid w:val="004A2A07"/>
    <w:rsid w:val="004A2EB7"/>
    <w:rsid w:val="004A368A"/>
    <w:rsid w:val="004A4268"/>
    <w:rsid w:val="004A5953"/>
    <w:rsid w:val="004A5C01"/>
    <w:rsid w:val="004A7004"/>
    <w:rsid w:val="004A7A22"/>
    <w:rsid w:val="004B0685"/>
    <w:rsid w:val="004B0835"/>
    <w:rsid w:val="004B1BFE"/>
    <w:rsid w:val="004B283F"/>
    <w:rsid w:val="004B3431"/>
    <w:rsid w:val="004B512E"/>
    <w:rsid w:val="004B5F8E"/>
    <w:rsid w:val="004B6CCA"/>
    <w:rsid w:val="004C0D3B"/>
    <w:rsid w:val="004C1492"/>
    <w:rsid w:val="004C26CD"/>
    <w:rsid w:val="004C2AE0"/>
    <w:rsid w:val="004C2D1D"/>
    <w:rsid w:val="004C31FB"/>
    <w:rsid w:val="004C5CD0"/>
    <w:rsid w:val="004C5FD1"/>
    <w:rsid w:val="004C6196"/>
    <w:rsid w:val="004C6C3D"/>
    <w:rsid w:val="004C73CD"/>
    <w:rsid w:val="004C7762"/>
    <w:rsid w:val="004C7B8A"/>
    <w:rsid w:val="004D16FD"/>
    <w:rsid w:val="004D191D"/>
    <w:rsid w:val="004D2337"/>
    <w:rsid w:val="004D2839"/>
    <w:rsid w:val="004D2DCC"/>
    <w:rsid w:val="004D4100"/>
    <w:rsid w:val="004D5DB7"/>
    <w:rsid w:val="004D6147"/>
    <w:rsid w:val="004D7056"/>
    <w:rsid w:val="004D7A18"/>
    <w:rsid w:val="004E251D"/>
    <w:rsid w:val="004E7DAA"/>
    <w:rsid w:val="004F1160"/>
    <w:rsid w:val="004F1720"/>
    <w:rsid w:val="004F21D7"/>
    <w:rsid w:val="004F2C2B"/>
    <w:rsid w:val="004F4BB2"/>
    <w:rsid w:val="004F79F7"/>
    <w:rsid w:val="00500317"/>
    <w:rsid w:val="00500B57"/>
    <w:rsid w:val="0050159E"/>
    <w:rsid w:val="00503623"/>
    <w:rsid w:val="00504040"/>
    <w:rsid w:val="0050745E"/>
    <w:rsid w:val="00510613"/>
    <w:rsid w:val="005114AB"/>
    <w:rsid w:val="005118C5"/>
    <w:rsid w:val="005126E2"/>
    <w:rsid w:val="00512F89"/>
    <w:rsid w:val="00513973"/>
    <w:rsid w:val="005160E9"/>
    <w:rsid w:val="00520A89"/>
    <w:rsid w:val="0052140E"/>
    <w:rsid w:val="00521B22"/>
    <w:rsid w:val="005222C0"/>
    <w:rsid w:val="00522C6C"/>
    <w:rsid w:val="00523685"/>
    <w:rsid w:val="00523992"/>
    <w:rsid w:val="00523C58"/>
    <w:rsid w:val="00523E98"/>
    <w:rsid w:val="00525F8F"/>
    <w:rsid w:val="005274CE"/>
    <w:rsid w:val="005313F0"/>
    <w:rsid w:val="0053153D"/>
    <w:rsid w:val="00531DCC"/>
    <w:rsid w:val="00532A44"/>
    <w:rsid w:val="00533063"/>
    <w:rsid w:val="005332DB"/>
    <w:rsid w:val="0053338B"/>
    <w:rsid w:val="0053403F"/>
    <w:rsid w:val="005362A8"/>
    <w:rsid w:val="00536A6A"/>
    <w:rsid w:val="00536CB7"/>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7FBC"/>
    <w:rsid w:val="00550116"/>
    <w:rsid w:val="00550765"/>
    <w:rsid w:val="005515A9"/>
    <w:rsid w:val="0055218B"/>
    <w:rsid w:val="005526BC"/>
    <w:rsid w:val="005536E2"/>
    <w:rsid w:val="00554263"/>
    <w:rsid w:val="005544C6"/>
    <w:rsid w:val="005547E4"/>
    <w:rsid w:val="00554AFE"/>
    <w:rsid w:val="00555AAA"/>
    <w:rsid w:val="00555C7C"/>
    <w:rsid w:val="00555DCF"/>
    <w:rsid w:val="00555EE4"/>
    <w:rsid w:val="0055745F"/>
    <w:rsid w:val="005574A6"/>
    <w:rsid w:val="00557E2B"/>
    <w:rsid w:val="00560338"/>
    <w:rsid w:val="00561C67"/>
    <w:rsid w:val="00563695"/>
    <w:rsid w:val="005664FB"/>
    <w:rsid w:val="00567193"/>
    <w:rsid w:val="0056729D"/>
    <w:rsid w:val="00570F3B"/>
    <w:rsid w:val="00571201"/>
    <w:rsid w:val="0057247C"/>
    <w:rsid w:val="00575E19"/>
    <w:rsid w:val="005761F1"/>
    <w:rsid w:val="005766F9"/>
    <w:rsid w:val="00577931"/>
    <w:rsid w:val="00581BC2"/>
    <w:rsid w:val="00581E2F"/>
    <w:rsid w:val="005838A7"/>
    <w:rsid w:val="00584996"/>
    <w:rsid w:val="005851FE"/>
    <w:rsid w:val="0058535C"/>
    <w:rsid w:val="005854C7"/>
    <w:rsid w:val="00585726"/>
    <w:rsid w:val="0059283D"/>
    <w:rsid w:val="005929CD"/>
    <w:rsid w:val="00592B72"/>
    <w:rsid w:val="00593374"/>
    <w:rsid w:val="00594391"/>
    <w:rsid w:val="00594D72"/>
    <w:rsid w:val="0059522B"/>
    <w:rsid w:val="0059545F"/>
    <w:rsid w:val="00595F8C"/>
    <w:rsid w:val="0059608E"/>
    <w:rsid w:val="005960AA"/>
    <w:rsid w:val="00596E2F"/>
    <w:rsid w:val="00597D86"/>
    <w:rsid w:val="005A04C1"/>
    <w:rsid w:val="005A1446"/>
    <w:rsid w:val="005A1C48"/>
    <w:rsid w:val="005A1EBF"/>
    <w:rsid w:val="005A227C"/>
    <w:rsid w:val="005A2F22"/>
    <w:rsid w:val="005A304C"/>
    <w:rsid w:val="005A360C"/>
    <w:rsid w:val="005A3FB5"/>
    <w:rsid w:val="005A47D0"/>
    <w:rsid w:val="005A6DD9"/>
    <w:rsid w:val="005A7358"/>
    <w:rsid w:val="005A758A"/>
    <w:rsid w:val="005B1CC0"/>
    <w:rsid w:val="005B204B"/>
    <w:rsid w:val="005B3511"/>
    <w:rsid w:val="005B42A5"/>
    <w:rsid w:val="005B482C"/>
    <w:rsid w:val="005B59AD"/>
    <w:rsid w:val="005B5B20"/>
    <w:rsid w:val="005B645D"/>
    <w:rsid w:val="005B683F"/>
    <w:rsid w:val="005B7F79"/>
    <w:rsid w:val="005C064B"/>
    <w:rsid w:val="005C08FA"/>
    <w:rsid w:val="005C0949"/>
    <w:rsid w:val="005C0DA1"/>
    <w:rsid w:val="005C0F7A"/>
    <w:rsid w:val="005C14F7"/>
    <w:rsid w:val="005C1916"/>
    <w:rsid w:val="005C24A1"/>
    <w:rsid w:val="005C2A8A"/>
    <w:rsid w:val="005C35C8"/>
    <w:rsid w:val="005C361D"/>
    <w:rsid w:val="005C3EEC"/>
    <w:rsid w:val="005C42EF"/>
    <w:rsid w:val="005C44A7"/>
    <w:rsid w:val="005C575F"/>
    <w:rsid w:val="005C5777"/>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0504"/>
    <w:rsid w:val="005E24B5"/>
    <w:rsid w:val="005E260E"/>
    <w:rsid w:val="005E284A"/>
    <w:rsid w:val="005E2A29"/>
    <w:rsid w:val="005E2E99"/>
    <w:rsid w:val="005E2F6E"/>
    <w:rsid w:val="005E535D"/>
    <w:rsid w:val="005E5A10"/>
    <w:rsid w:val="005E5E18"/>
    <w:rsid w:val="005E6982"/>
    <w:rsid w:val="005E7BF8"/>
    <w:rsid w:val="005E7F70"/>
    <w:rsid w:val="005F012F"/>
    <w:rsid w:val="005F036B"/>
    <w:rsid w:val="005F04A0"/>
    <w:rsid w:val="005F08EC"/>
    <w:rsid w:val="005F1593"/>
    <w:rsid w:val="005F3B73"/>
    <w:rsid w:val="005F5823"/>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5589"/>
    <w:rsid w:val="006175A6"/>
    <w:rsid w:val="006209DA"/>
    <w:rsid w:val="006228FB"/>
    <w:rsid w:val="00624560"/>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4C85"/>
    <w:rsid w:val="0064525B"/>
    <w:rsid w:val="0064561F"/>
    <w:rsid w:val="00645724"/>
    <w:rsid w:val="0064666B"/>
    <w:rsid w:val="0065064D"/>
    <w:rsid w:val="00655423"/>
    <w:rsid w:val="00655EA3"/>
    <w:rsid w:val="00656A45"/>
    <w:rsid w:val="006571BB"/>
    <w:rsid w:val="006605DA"/>
    <w:rsid w:val="006628EA"/>
    <w:rsid w:val="00662FD5"/>
    <w:rsid w:val="006637D0"/>
    <w:rsid w:val="00663CF5"/>
    <w:rsid w:val="00664547"/>
    <w:rsid w:val="00665088"/>
    <w:rsid w:val="006650CC"/>
    <w:rsid w:val="006651D0"/>
    <w:rsid w:val="006654F9"/>
    <w:rsid w:val="0066583A"/>
    <w:rsid w:val="0067003E"/>
    <w:rsid w:val="006701D3"/>
    <w:rsid w:val="006717E0"/>
    <w:rsid w:val="00671983"/>
    <w:rsid w:val="00674C43"/>
    <w:rsid w:val="00675DF0"/>
    <w:rsid w:val="0067705C"/>
    <w:rsid w:val="0067756D"/>
    <w:rsid w:val="00680B0B"/>
    <w:rsid w:val="00681046"/>
    <w:rsid w:val="00681C95"/>
    <w:rsid w:val="00681DD5"/>
    <w:rsid w:val="0068233D"/>
    <w:rsid w:val="0068263D"/>
    <w:rsid w:val="00682B9F"/>
    <w:rsid w:val="00682CF3"/>
    <w:rsid w:val="0068487F"/>
    <w:rsid w:val="00685081"/>
    <w:rsid w:val="00686D2F"/>
    <w:rsid w:val="0069061C"/>
    <w:rsid w:val="006909E0"/>
    <w:rsid w:val="006916C6"/>
    <w:rsid w:val="00691CDE"/>
    <w:rsid w:val="00691EAD"/>
    <w:rsid w:val="00692A09"/>
    <w:rsid w:val="00693038"/>
    <w:rsid w:val="00694582"/>
    <w:rsid w:val="00694D29"/>
    <w:rsid w:val="00695BE1"/>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1F08"/>
    <w:rsid w:val="006B31A5"/>
    <w:rsid w:val="006B39B9"/>
    <w:rsid w:val="006B3F22"/>
    <w:rsid w:val="006B4B11"/>
    <w:rsid w:val="006C0316"/>
    <w:rsid w:val="006C0518"/>
    <w:rsid w:val="006C0C57"/>
    <w:rsid w:val="006C198C"/>
    <w:rsid w:val="006C2580"/>
    <w:rsid w:val="006C32D3"/>
    <w:rsid w:val="006C43EB"/>
    <w:rsid w:val="006C44ED"/>
    <w:rsid w:val="006C49B0"/>
    <w:rsid w:val="006C54AC"/>
    <w:rsid w:val="006C6649"/>
    <w:rsid w:val="006C6A6C"/>
    <w:rsid w:val="006C77E3"/>
    <w:rsid w:val="006D066B"/>
    <w:rsid w:val="006D0C39"/>
    <w:rsid w:val="006D10CB"/>
    <w:rsid w:val="006D2262"/>
    <w:rsid w:val="006D254A"/>
    <w:rsid w:val="006D2FBF"/>
    <w:rsid w:val="006D3515"/>
    <w:rsid w:val="006D3596"/>
    <w:rsid w:val="006D42FE"/>
    <w:rsid w:val="006D43FA"/>
    <w:rsid w:val="006D4D30"/>
    <w:rsid w:val="006D5EF5"/>
    <w:rsid w:val="006D62A8"/>
    <w:rsid w:val="006D69C6"/>
    <w:rsid w:val="006D7F98"/>
    <w:rsid w:val="006E04B7"/>
    <w:rsid w:val="006E0D9F"/>
    <w:rsid w:val="006E32E2"/>
    <w:rsid w:val="006E33E2"/>
    <w:rsid w:val="006E3725"/>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4141"/>
    <w:rsid w:val="007151C1"/>
    <w:rsid w:val="007159F0"/>
    <w:rsid w:val="007168AA"/>
    <w:rsid w:val="00716954"/>
    <w:rsid w:val="007178B2"/>
    <w:rsid w:val="007201D6"/>
    <w:rsid w:val="007205A6"/>
    <w:rsid w:val="0072082A"/>
    <w:rsid w:val="007226EA"/>
    <w:rsid w:val="00722B09"/>
    <w:rsid w:val="00722B3C"/>
    <w:rsid w:val="00722D16"/>
    <w:rsid w:val="0072351A"/>
    <w:rsid w:val="00725EF0"/>
    <w:rsid w:val="00726BC9"/>
    <w:rsid w:val="00730915"/>
    <w:rsid w:val="00731ED0"/>
    <w:rsid w:val="007328A8"/>
    <w:rsid w:val="0073312C"/>
    <w:rsid w:val="00733861"/>
    <w:rsid w:val="00733DA4"/>
    <w:rsid w:val="00734F12"/>
    <w:rsid w:val="007351B2"/>
    <w:rsid w:val="00735AA1"/>
    <w:rsid w:val="00736670"/>
    <w:rsid w:val="00737DFF"/>
    <w:rsid w:val="00740688"/>
    <w:rsid w:val="00741076"/>
    <w:rsid w:val="00741BAB"/>
    <w:rsid w:val="00742160"/>
    <w:rsid w:val="0074216C"/>
    <w:rsid w:val="00743BB8"/>
    <w:rsid w:val="00743CF5"/>
    <w:rsid w:val="0074786E"/>
    <w:rsid w:val="00747CAC"/>
    <w:rsid w:val="00750112"/>
    <w:rsid w:val="00751E33"/>
    <w:rsid w:val="00753DE1"/>
    <w:rsid w:val="00754A35"/>
    <w:rsid w:val="00754B50"/>
    <w:rsid w:val="0075521F"/>
    <w:rsid w:val="007564F5"/>
    <w:rsid w:val="00756C59"/>
    <w:rsid w:val="00760243"/>
    <w:rsid w:val="00761AAB"/>
    <w:rsid w:val="00761FDE"/>
    <w:rsid w:val="007640C9"/>
    <w:rsid w:val="007649D8"/>
    <w:rsid w:val="00764AF0"/>
    <w:rsid w:val="00764E81"/>
    <w:rsid w:val="00764EBD"/>
    <w:rsid w:val="00764F45"/>
    <w:rsid w:val="00765970"/>
    <w:rsid w:val="0076635F"/>
    <w:rsid w:val="00767485"/>
    <w:rsid w:val="007675D6"/>
    <w:rsid w:val="0077064E"/>
    <w:rsid w:val="00770CF7"/>
    <w:rsid w:val="007715D2"/>
    <w:rsid w:val="00771955"/>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A0130"/>
    <w:rsid w:val="007A1C94"/>
    <w:rsid w:val="007A209C"/>
    <w:rsid w:val="007A25CB"/>
    <w:rsid w:val="007A2BA0"/>
    <w:rsid w:val="007A2F7A"/>
    <w:rsid w:val="007A2FF1"/>
    <w:rsid w:val="007A3E32"/>
    <w:rsid w:val="007A44F9"/>
    <w:rsid w:val="007A4AE8"/>
    <w:rsid w:val="007A4DDA"/>
    <w:rsid w:val="007A5CFC"/>
    <w:rsid w:val="007A6048"/>
    <w:rsid w:val="007A6990"/>
    <w:rsid w:val="007B19B7"/>
    <w:rsid w:val="007B20AC"/>
    <w:rsid w:val="007B2B0F"/>
    <w:rsid w:val="007B3A3B"/>
    <w:rsid w:val="007B4C6F"/>
    <w:rsid w:val="007B55EB"/>
    <w:rsid w:val="007B7D21"/>
    <w:rsid w:val="007C0F2E"/>
    <w:rsid w:val="007C12D0"/>
    <w:rsid w:val="007C2106"/>
    <w:rsid w:val="007C27F7"/>
    <w:rsid w:val="007C2C12"/>
    <w:rsid w:val="007C3EAB"/>
    <w:rsid w:val="007C6F8C"/>
    <w:rsid w:val="007C729C"/>
    <w:rsid w:val="007C7C87"/>
    <w:rsid w:val="007D003E"/>
    <w:rsid w:val="007D06DD"/>
    <w:rsid w:val="007D0CE1"/>
    <w:rsid w:val="007D0E83"/>
    <w:rsid w:val="007D2256"/>
    <w:rsid w:val="007D44B7"/>
    <w:rsid w:val="007D44D2"/>
    <w:rsid w:val="007D79E9"/>
    <w:rsid w:val="007D7A15"/>
    <w:rsid w:val="007E1CFD"/>
    <w:rsid w:val="007E2E4D"/>
    <w:rsid w:val="007E2EB9"/>
    <w:rsid w:val="007E4C15"/>
    <w:rsid w:val="007E5419"/>
    <w:rsid w:val="007E54E6"/>
    <w:rsid w:val="007E5D8E"/>
    <w:rsid w:val="007E7282"/>
    <w:rsid w:val="007E7543"/>
    <w:rsid w:val="007E7D99"/>
    <w:rsid w:val="007E7F6A"/>
    <w:rsid w:val="007F1EF5"/>
    <w:rsid w:val="007F2A53"/>
    <w:rsid w:val="007F2D74"/>
    <w:rsid w:val="007F4DF2"/>
    <w:rsid w:val="007F54C6"/>
    <w:rsid w:val="007F5F16"/>
    <w:rsid w:val="007F6452"/>
    <w:rsid w:val="007F6474"/>
    <w:rsid w:val="007F667F"/>
    <w:rsid w:val="007F70F6"/>
    <w:rsid w:val="007F7316"/>
    <w:rsid w:val="007F74A7"/>
    <w:rsid w:val="007F7A39"/>
    <w:rsid w:val="008003FB"/>
    <w:rsid w:val="008009AD"/>
    <w:rsid w:val="0080104E"/>
    <w:rsid w:val="0080201B"/>
    <w:rsid w:val="00804465"/>
    <w:rsid w:val="008048C6"/>
    <w:rsid w:val="0080703E"/>
    <w:rsid w:val="00807113"/>
    <w:rsid w:val="00807159"/>
    <w:rsid w:val="008104DF"/>
    <w:rsid w:val="00810D99"/>
    <w:rsid w:val="008113D9"/>
    <w:rsid w:val="008113FD"/>
    <w:rsid w:val="00812C16"/>
    <w:rsid w:val="008136CD"/>
    <w:rsid w:val="00813FCC"/>
    <w:rsid w:val="008144D2"/>
    <w:rsid w:val="00815301"/>
    <w:rsid w:val="00815C10"/>
    <w:rsid w:val="0081652D"/>
    <w:rsid w:val="0081702B"/>
    <w:rsid w:val="00817E8B"/>
    <w:rsid w:val="00820418"/>
    <w:rsid w:val="008218E6"/>
    <w:rsid w:val="00821F74"/>
    <w:rsid w:val="00822F01"/>
    <w:rsid w:val="0082373C"/>
    <w:rsid w:val="008239C4"/>
    <w:rsid w:val="00825162"/>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1327"/>
    <w:rsid w:val="00872E2D"/>
    <w:rsid w:val="00872FAA"/>
    <w:rsid w:val="00873B01"/>
    <w:rsid w:val="0087466A"/>
    <w:rsid w:val="00875C70"/>
    <w:rsid w:val="008804A7"/>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35A"/>
    <w:rsid w:val="00896C23"/>
    <w:rsid w:val="00897710"/>
    <w:rsid w:val="00897D89"/>
    <w:rsid w:val="008A0742"/>
    <w:rsid w:val="008A28F4"/>
    <w:rsid w:val="008A29F5"/>
    <w:rsid w:val="008A2C05"/>
    <w:rsid w:val="008A300C"/>
    <w:rsid w:val="008A4558"/>
    <w:rsid w:val="008A484A"/>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1A12"/>
    <w:rsid w:val="008D3242"/>
    <w:rsid w:val="008D473B"/>
    <w:rsid w:val="008D4954"/>
    <w:rsid w:val="008D599A"/>
    <w:rsid w:val="008D6379"/>
    <w:rsid w:val="008D6556"/>
    <w:rsid w:val="008D6993"/>
    <w:rsid w:val="008D7A1E"/>
    <w:rsid w:val="008E1165"/>
    <w:rsid w:val="008E12DB"/>
    <w:rsid w:val="008E1640"/>
    <w:rsid w:val="008E16B4"/>
    <w:rsid w:val="008E1763"/>
    <w:rsid w:val="008E1BDC"/>
    <w:rsid w:val="008E2173"/>
    <w:rsid w:val="008E3168"/>
    <w:rsid w:val="008E41A8"/>
    <w:rsid w:val="008E4228"/>
    <w:rsid w:val="008E4D02"/>
    <w:rsid w:val="008E68FC"/>
    <w:rsid w:val="008F0F03"/>
    <w:rsid w:val="008F1157"/>
    <w:rsid w:val="008F1C73"/>
    <w:rsid w:val="008F1CAA"/>
    <w:rsid w:val="008F27C7"/>
    <w:rsid w:val="008F3DD2"/>
    <w:rsid w:val="008F481D"/>
    <w:rsid w:val="008F582B"/>
    <w:rsid w:val="008F58CE"/>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0A8E"/>
    <w:rsid w:val="009111BE"/>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27D"/>
    <w:rsid w:val="00926AEC"/>
    <w:rsid w:val="00927CC7"/>
    <w:rsid w:val="00927F3D"/>
    <w:rsid w:val="00930137"/>
    <w:rsid w:val="00930D5C"/>
    <w:rsid w:val="00931069"/>
    <w:rsid w:val="00931626"/>
    <w:rsid w:val="0093201F"/>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3FFE"/>
    <w:rsid w:val="0094478D"/>
    <w:rsid w:val="00944C3F"/>
    <w:rsid w:val="00946138"/>
    <w:rsid w:val="0094628E"/>
    <w:rsid w:val="00946A66"/>
    <w:rsid w:val="00946E75"/>
    <w:rsid w:val="0094760C"/>
    <w:rsid w:val="009479BE"/>
    <w:rsid w:val="00950212"/>
    <w:rsid w:val="009505EE"/>
    <w:rsid w:val="0095152D"/>
    <w:rsid w:val="0095161D"/>
    <w:rsid w:val="00951794"/>
    <w:rsid w:val="0095212A"/>
    <w:rsid w:val="00952639"/>
    <w:rsid w:val="00954D19"/>
    <w:rsid w:val="00955226"/>
    <w:rsid w:val="00955B2C"/>
    <w:rsid w:val="0095612F"/>
    <w:rsid w:val="009565D7"/>
    <w:rsid w:val="00957A7C"/>
    <w:rsid w:val="00957E04"/>
    <w:rsid w:val="00960001"/>
    <w:rsid w:val="00961154"/>
    <w:rsid w:val="00961B76"/>
    <w:rsid w:val="009623BD"/>
    <w:rsid w:val="00962DCD"/>
    <w:rsid w:val="009630C4"/>
    <w:rsid w:val="00964093"/>
    <w:rsid w:val="009641F4"/>
    <w:rsid w:val="00964650"/>
    <w:rsid w:val="00965CB0"/>
    <w:rsid w:val="00966613"/>
    <w:rsid w:val="00966CDB"/>
    <w:rsid w:val="0096759D"/>
    <w:rsid w:val="009679BD"/>
    <w:rsid w:val="00970405"/>
    <w:rsid w:val="009706D8"/>
    <w:rsid w:val="00970728"/>
    <w:rsid w:val="00973A04"/>
    <w:rsid w:val="0097484C"/>
    <w:rsid w:val="0097491C"/>
    <w:rsid w:val="009751B7"/>
    <w:rsid w:val="00976AED"/>
    <w:rsid w:val="009801A7"/>
    <w:rsid w:val="00981174"/>
    <w:rsid w:val="00981778"/>
    <w:rsid w:val="00981ABC"/>
    <w:rsid w:val="00982525"/>
    <w:rsid w:val="009835C6"/>
    <w:rsid w:val="00984BB0"/>
    <w:rsid w:val="00986539"/>
    <w:rsid w:val="009866FD"/>
    <w:rsid w:val="009867D4"/>
    <w:rsid w:val="00986D8D"/>
    <w:rsid w:val="009871C0"/>
    <w:rsid w:val="0098722F"/>
    <w:rsid w:val="00990231"/>
    <w:rsid w:val="009907C6"/>
    <w:rsid w:val="00991061"/>
    <w:rsid w:val="00992B96"/>
    <w:rsid w:val="00994990"/>
    <w:rsid w:val="00994BB4"/>
    <w:rsid w:val="0099545B"/>
    <w:rsid w:val="009958B7"/>
    <w:rsid w:val="00996BCB"/>
    <w:rsid w:val="00997C15"/>
    <w:rsid w:val="009A1546"/>
    <w:rsid w:val="009A2992"/>
    <w:rsid w:val="009A335D"/>
    <w:rsid w:val="009A5609"/>
    <w:rsid w:val="009A573D"/>
    <w:rsid w:val="009A5BBD"/>
    <w:rsid w:val="009A6457"/>
    <w:rsid w:val="009A6D0A"/>
    <w:rsid w:val="009B2608"/>
    <w:rsid w:val="009B26C3"/>
    <w:rsid w:val="009B2D43"/>
    <w:rsid w:val="009B4E7C"/>
    <w:rsid w:val="009B50B0"/>
    <w:rsid w:val="009B5AF9"/>
    <w:rsid w:val="009B72EE"/>
    <w:rsid w:val="009C0031"/>
    <w:rsid w:val="009C066A"/>
    <w:rsid w:val="009C0D26"/>
    <w:rsid w:val="009C0EE9"/>
    <w:rsid w:val="009C32D9"/>
    <w:rsid w:val="009C3B27"/>
    <w:rsid w:val="009C6095"/>
    <w:rsid w:val="009C6F8E"/>
    <w:rsid w:val="009C73F9"/>
    <w:rsid w:val="009D09B3"/>
    <w:rsid w:val="009D2259"/>
    <w:rsid w:val="009D4D71"/>
    <w:rsid w:val="009D5CF2"/>
    <w:rsid w:val="009D5D3E"/>
    <w:rsid w:val="009D5F03"/>
    <w:rsid w:val="009D6296"/>
    <w:rsid w:val="009D71B9"/>
    <w:rsid w:val="009D7E9C"/>
    <w:rsid w:val="009E19ED"/>
    <w:rsid w:val="009E2789"/>
    <w:rsid w:val="009E30AB"/>
    <w:rsid w:val="009E3803"/>
    <w:rsid w:val="009E3ECE"/>
    <w:rsid w:val="009E3FE4"/>
    <w:rsid w:val="009E42CB"/>
    <w:rsid w:val="009E4684"/>
    <w:rsid w:val="009E473D"/>
    <w:rsid w:val="009E639F"/>
    <w:rsid w:val="009E71B4"/>
    <w:rsid w:val="009E7F18"/>
    <w:rsid w:val="009F01B8"/>
    <w:rsid w:val="009F15A4"/>
    <w:rsid w:val="009F161D"/>
    <w:rsid w:val="009F1961"/>
    <w:rsid w:val="009F2751"/>
    <w:rsid w:val="009F46F1"/>
    <w:rsid w:val="009F539C"/>
    <w:rsid w:val="009F7005"/>
    <w:rsid w:val="009F7262"/>
    <w:rsid w:val="009F7A8F"/>
    <w:rsid w:val="00A00383"/>
    <w:rsid w:val="00A005BC"/>
    <w:rsid w:val="00A04903"/>
    <w:rsid w:val="00A05C79"/>
    <w:rsid w:val="00A0727A"/>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3E2E"/>
    <w:rsid w:val="00A36391"/>
    <w:rsid w:val="00A3691E"/>
    <w:rsid w:val="00A36BFC"/>
    <w:rsid w:val="00A37D4B"/>
    <w:rsid w:val="00A40E68"/>
    <w:rsid w:val="00A4137A"/>
    <w:rsid w:val="00A41BA3"/>
    <w:rsid w:val="00A4425F"/>
    <w:rsid w:val="00A4480A"/>
    <w:rsid w:val="00A4569F"/>
    <w:rsid w:val="00A45D96"/>
    <w:rsid w:val="00A45EF7"/>
    <w:rsid w:val="00A46A19"/>
    <w:rsid w:val="00A46AA7"/>
    <w:rsid w:val="00A46FEA"/>
    <w:rsid w:val="00A5148A"/>
    <w:rsid w:val="00A51713"/>
    <w:rsid w:val="00A51913"/>
    <w:rsid w:val="00A51C77"/>
    <w:rsid w:val="00A520A7"/>
    <w:rsid w:val="00A526EC"/>
    <w:rsid w:val="00A535A2"/>
    <w:rsid w:val="00A535F2"/>
    <w:rsid w:val="00A539DD"/>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B76"/>
    <w:rsid w:val="00AA3D5F"/>
    <w:rsid w:val="00AA6288"/>
    <w:rsid w:val="00AA631F"/>
    <w:rsid w:val="00AB0A13"/>
    <w:rsid w:val="00AB1E54"/>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B21"/>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A0F"/>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6F44"/>
    <w:rsid w:val="00B26FC3"/>
    <w:rsid w:val="00B27720"/>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47BB6"/>
    <w:rsid w:val="00B50EAE"/>
    <w:rsid w:val="00B5256F"/>
    <w:rsid w:val="00B53497"/>
    <w:rsid w:val="00B53627"/>
    <w:rsid w:val="00B53AA1"/>
    <w:rsid w:val="00B54219"/>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66886"/>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84D37"/>
    <w:rsid w:val="00B86BA9"/>
    <w:rsid w:val="00B90BF7"/>
    <w:rsid w:val="00B9143E"/>
    <w:rsid w:val="00B91523"/>
    <w:rsid w:val="00B91629"/>
    <w:rsid w:val="00B92F34"/>
    <w:rsid w:val="00B93198"/>
    <w:rsid w:val="00B9373D"/>
    <w:rsid w:val="00B94A5F"/>
    <w:rsid w:val="00B96136"/>
    <w:rsid w:val="00B96472"/>
    <w:rsid w:val="00B964C3"/>
    <w:rsid w:val="00B96F00"/>
    <w:rsid w:val="00B97052"/>
    <w:rsid w:val="00B9724F"/>
    <w:rsid w:val="00B972B2"/>
    <w:rsid w:val="00B97E4C"/>
    <w:rsid w:val="00B97F9B"/>
    <w:rsid w:val="00BA0E44"/>
    <w:rsid w:val="00BA1BEB"/>
    <w:rsid w:val="00BA2F50"/>
    <w:rsid w:val="00BA3031"/>
    <w:rsid w:val="00BA493A"/>
    <w:rsid w:val="00BA5820"/>
    <w:rsid w:val="00BA6399"/>
    <w:rsid w:val="00BA6459"/>
    <w:rsid w:val="00BB0B72"/>
    <w:rsid w:val="00BB13E7"/>
    <w:rsid w:val="00BB172C"/>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118"/>
    <w:rsid w:val="00BE1DA6"/>
    <w:rsid w:val="00BE4260"/>
    <w:rsid w:val="00BE4603"/>
    <w:rsid w:val="00BE5B41"/>
    <w:rsid w:val="00BE6ADF"/>
    <w:rsid w:val="00BE6EEF"/>
    <w:rsid w:val="00BE71E4"/>
    <w:rsid w:val="00BF1E34"/>
    <w:rsid w:val="00BF3020"/>
    <w:rsid w:val="00BF5600"/>
    <w:rsid w:val="00BF6391"/>
    <w:rsid w:val="00BF72E8"/>
    <w:rsid w:val="00BF7815"/>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1915"/>
    <w:rsid w:val="00C421FB"/>
    <w:rsid w:val="00C430E0"/>
    <w:rsid w:val="00C43462"/>
    <w:rsid w:val="00C43946"/>
    <w:rsid w:val="00C454DA"/>
    <w:rsid w:val="00C45CF1"/>
    <w:rsid w:val="00C46920"/>
    <w:rsid w:val="00C4716D"/>
    <w:rsid w:val="00C50C74"/>
    <w:rsid w:val="00C5110C"/>
    <w:rsid w:val="00C51621"/>
    <w:rsid w:val="00C518E4"/>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3812"/>
    <w:rsid w:val="00C742F3"/>
    <w:rsid w:val="00C753DE"/>
    <w:rsid w:val="00C7630C"/>
    <w:rsid w:val="00C7672A"/>
    <w:rsid w:val="00C772EA"/>
    <w:rsid w:val="00C77B77"/>
    <w:rsid w:val="00C80B15"/>
    <w:rsid w:val="00C82664"/>
    <w:rsid w:val="00C828E4"/>
    <w:rsid w:val="00C82EF1"/>
    <w:rsid w:val="00C84453"/>
    <w:rsid w:val="00C84D69"/>
    <w:rsid w:val="00C859A6"/>
    <w:rsid w:val="00C86CCA"/>
    <w:rsid w:val="00C872F2"/>
    <w:rsid w:val="00C90EF9"/>
    <w:rsid w:val="00C91154"/>
    <w:rsid w:val="00C911BC"/>
    <w:rsid w:val="00C912F1"/>
    <w:rsid w:val="00C93193"/>
    <w:rsid w:val="00C934F1"/>
    <w:rsid w:val="00C93D19"/>
    <w:rsid w:val="00C94668"/>
    <w:rsid w:val="00C9489D"/>
    <w:rsid w:val="00C95234"/>
    <w:rsid w:val="00C953E4"/>
    <w:rsid w:val="00C9659F"/>
    <w:rsid w:val="00C9675E"/>
    <w:rsid w:val="00C96A74"/>
    <w:rsid w:val="00C96ACB"/>
    <w:rsid w:val="00C97453"/>
    <w:rsid w:val="00C97759"/>
    <w:rsid w:val="00CA0065"/>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335C"/>
    <w:rsid w:val="00CB452D"/>
    <w:rsid w:val="00CB50C0"/>
    <w:rsid w:val="00CB7DAE"/>
    <w:rsid w:val="00CC106D"/>
    <w:rsid w:val="00CC1079"/>
    <w:rsid w:val="00CC177C"/>
    <w:rsid w:val="00CC1A25"/>
    <w:rsid w:val="00CC1F91"/>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471A"/>
    <w:rsid w:val="00CE558D"/>
    <w:rsid w:val="00CF198C"/>
    <w:rsid w:val="00CF1D7A"/>
    <w:rsid w:val="00CF1DA6"/>
    <w:rsid w:val="00CF1FA7"/>
    <w:rsid w:val="00CF3EFE"/>
    <w:rsid w:val="00CF6B0A"/>
    <w:rsid w:val="00D02178"/>
    <w:rsid w:val="00D026A4"/>
    <w:rsid w:val="00D02E05"/>
    <w:rsid w:val="00D03C86"/>
    <w:rsid w:val="00D04242"/>
    <w:rsid w:val="00D04D85"/>
    <w:rsid w:val="00D05A5A"/>
    <w:rsid w:val="00D05AD5"/>
    <w:rsid w:val="00D06776"/>
    <w:rsid w:val="00D06AF7"/>
    <w:rsid w:val="00D06EB6"/>
    <w:rsid w:val="00D07111"/>
    <w:rsid w:val="00D10087"/>
    <w:rsid w:val="00D11CA6"/>
    <w:rsid w:val="00D12519"/>
    <w:rsid w:val="00D12EDF"/>
    <w:rsid w:val="00D13386"/>
    <w:rsid w:val="00D13783"/>
    <w:rsid w:val="00D13A90"/>
    <w:rsid w:val="00D13BB1"/>
    <w:rsid w:val="00D14243"/>
    <w:rsid w:val="00D1454D"/>
    <w:rsid w:val="00D1521C"/>
    <w:rsid w:val="00D15DEC"/>
    <w:rsid w:val="00D174EE"/>
    <w:rsid w:val="00D2037B"/>
    <w:rsid w:val="00D20E51"/>
    <w:rsid w:val="00D216A2"/>
    <w:rsid w:val="00D21C8C"/>
    <w:rsid w:val="00D21F19"/>
    <w:rsid w:val="00D246BC"/>
    <w:rsid w:val="00D24EA4"/>
    <w:rsid w:val="00D25A75"/>
    <w:rsid w:val="00D27C2E"/>
    <w:rsid w:val="00D31398"/>
    <w:rsid w:val="00D31951"/>
    <w:rsid w:val="00D32330"/>
    <w:rsid w:val="00D35CF1"/>
    <w:rsid w:val="00D36A8E"/>
    <w:rsid w:val="00D36EAC"/>
    <w:rsid w:val="00D37AFB"/>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4D58"/>
    <w:rsid w:val="00D54E1B"/>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77DD8"/>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53A2"/>
    <w:rsid w:val="00DB63D8"/>
    <w:rsid w:val="00DB7502"/>
    <w:rsid w:val="00DB79E3"/>
    <w:rsid w:val="00DC0240"/>
    <w:rsid w:val="00DC2D71"/>
    <w:rsid w:val="00DC4661"/>
    <w:rsid w:val="00DC7C63"/>
    <w:rsid w:val="00DD055F"/>
    <w:rsid w:val="00DD0A9A"/>
    <w:rsid w:val="00DD1112"/>
    <w:rsid w:val="00DD223C"/>
    <w:rsid w:val="00DD25A2"/>
    <w:rsid w:val="00DD34F7"/>
    <w:rsid w:val="00DD3952"/>
    <w:rsid w:val="00DD3CE5"/>
    <w:rsid w:val="00DD4750"/>
    <w:rsid w:val="00DD5CC6"/>
    <w:rsid w:val="00DD6DBF"/>
    <w:rsid w:val="00DD7645"/>
    <w:rsid w:val="00DD793C"/>
    <w:rsid w:val="00DD7B6C"/>
    <w:rsid w:val="00DD7E2B"/>
    <w:rsid w:val="00DE1D34"/>
    <w:rsid w:val="00DE48CD"/>
    <w:rsid w:val="00DE6BC1"/>
    <w:rsid w:val="00DF0704"/>
    <w:rsid w:val="00DF08D7"/>
    <w:rsid w:val="00DF0F91"/>
    <w:rsid w:val="00DF1485"/>
    <w:rsid w:val="00DF1957"/>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946"/>
    <w:rsid w:val="00E078AC"/>
    <w:rsid w:val="00E106AB"/>
    <w:rsid w:val="00E118CB"/>
    <w:rsid w:val="00E11A85"/>
    <w:rsid w:val="00E12554"/>
    <w:rsid w:val="00E12BFC"/>
    <w:rsid w:val="00E12D93"/>
    <w:rsid w:val="00E13072"/>
    <w:rsid w:val="00E14A94"/>
    <w:rsid w:val="00E150FC"/>
    <w:rsid w:val="00E164DD"/>
    <w:rsid w:val="00E16CB5"/>
    <w:rsid w:val="00E1724E"/>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0B0"/>
    <w:rsid w:val="00E31169"/>
    <w:rsid w:val="00E311C7"/>
    <w:rsid w:val="00E31D83"/>
    <w:rsid w:val="00E33530"/>
    <w:rsid w:val="00E3353D"/>
    <w:rsid w:val="00E3379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37B1"/>
    <w:rsid w:val="00E737D2"/>
    <w:rsid w:val="00E742A6"/>
    <w:rsid w:val="00E74C0A"/>
    <w:rsid w:val="00E74E1A"/>
    <w:rsid w:val="00E75189"/>
    <w:rsid w:val="00E755BD"/>
    <w:rsid w:val="00E757DA"/>
    <w:rsid w:val="00E75F81"/>
    <w:rsid w:val="00E7624A"/>
    <w:rsid w:val="00E7689D"/>
    <w:rsid w:val="00E768F9"/>
    <w:rsid w:val="00E7697C"/>
    <w:rsid w:val="00E76C20"/>
    <w:rsid w:val="00E76D86"/>
    <w:rsid w:val="00E76FAE"/>
    <w:rsid w:val="00E774CB"/>
    <w:rsid w:val="00E77EB4"/>
    <w:rsid w:val="00E80BE4"/>
    <w:rsid w:val="00E80C01"/>
    <w:rsid w:val="00E819ED"/>
    <w:rsid w:val="00E82232"/>
    <w:rsid w:val="00E82C67"/>
    <w:rsid w:val="00E845AA"/>
    <w:rsid w:val="00E84891"/>
    <w:rsid w:val="00E84B4F"/>
    <w:rsid w:val="00E850E4"/>
    <w:rsid w:val="00E85B7C"/>
    <w:rsid w:val="00E86F85"/>
    <w:rsid w:val="00E8792F"/>
    <w:rsid w:val="00E90B44"/>
    <w:rsid w:val="00E92F03"/>
    <w:rsid w:val="00E942E8"/>
    <w:rsid w:val="00E95900"/>
    <w:rsid w:val="00E959DA"/>
    <w:rsid w:val="00E95AC3"/>
    <w:rsid w:val="00E95BB4"/>
    <w:rsid w:val="00E96DB7"/>
    <w:rsid w:val="00E97DE4"/>
    <w:rsid w:val="00EA0417"/>
    <w:rsid w:val="00EA05AB"/>
    <w:rsid w:val="00EA236E"/>
    <w:rsid w:val="00EA2431"/>
    <w:rsid w:val="00EA296B"/>
    <w:rsid w:val="00EA3229"/>
    <w:rsid w:val="00EA35EC"/>
    <w:rsid w:val="00EA42FF"/>
    <w:rsid w:val="00EA4802"/>
    <w:rsid w:val="00EA4C85"/>
    <w:rsid w:val="00EA4E5B"/>
    <w:rsid w:val="00EA6AFD"/>
    <w:rsid w:val="00EA77C6"/>
    <w:rsid w:val="00EA77F6"/>
    <w:rsid w:val="00EB1239"/>
    <w:rsid w:val="00EB22FC"/>
    <w:rsid w:val="00EB34A3"/>
    <w:rsid w:val="00EB4198"/>
    <w:rsid w:val="00EB5E18"/>
    <w:rsid w:val="00EB5E49"/>
    <w:rsid w:val="00EB620F"/>
    <w:rsid w:val="00EB6DDF"/>
    <w:rsid w:val="00EB6FF3"/>
    <w:rsid w:val="00EB781B"/>
    <w:rsid w:val="00EC0A85"/>
    <w:rsid w:val="00EC0B21"/>
    <w:rsid w:val="00EC37EA"/>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1D3E"/>
    <w:rsid w:val="00EE22C4"/>
    <w:rsid w:val="00EE29ED"/>
    <w:rsid w:val="00EE305E"/>
    <w:rsid w:val="00EE5DAD"/>
    <w:rsid w:val="00EE6BE3"/>
    <w:rsid w:val="00EE7A42"/>
    <w:rsid w:val="00EF0320"/>
    <w:rsid w:val="00EF0832"/>
    <w:rsid w:val="00EF2021"/>
    <w:rsid w:val="00EF2030"/>
    <w:rsid w:val="00EF4331"/>
    <w:rsid w:val="00EF4AD7"/>
    <w:rsid w:val="00EF50B5"/>
    <w:rsid w:val="00EF59BA"/>
    <w:rsid w:val="00EF7568"/>
    <w:rsid w:val="00EF7A85"/>
    <w:rsid w:val="00F01033"/>
    <w:rsid w:val="00F01136"/>
    <w:rsid w:val="00F01183"/>
    <w:rsid w:val="00F02094"/>
    <w:rsid w:val="00F028DF"/>
    <w:rsid w:val="00F039FE"/>
    <w:rsid w:val="00F042BD"/>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19B4"/>
    <w:rsid w:val="00F22A8E"/>
    <w:rsid w:val="00F22B14"/>
    <w:rsid w:val="00F2328B"/>
    <w:rsid w:val="00F2330C"/>
    <w:rsid w:val="00F23793"/>
    <w:rsid w:val="00F241B1"/>
    <w:rsid w:val="00F2537D"/>
    <w:rsid w:val="00F25596"/>
    <w:rsid w:val="00F2577F"/>
    <w:rsid w:val="00F25CAD"/>
    <w:rsid w:val="00F271C1"/>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4637B"/>
    <w:rsid w:val="00F50D6E"/>
    <w:rsid w:val="00F51286"/>
    <w:rsid w:val="00F51D41"/>
    <w:rsid w:val="00F5258A"/>
    <w:rsid w:val="00F531D9"/>
    <w:rsid w:val="00F5357F"/>
    <w:rsid w:val="00F53EC0"/>
    <w:rsid w:val="00F55991"/>
    <w:rsid w:val="00F55B46"/>
    <w:rsid w:val="00F55E54"/>
    <w:rsid w:val="00F565E6"/>
    <w:rsid w:val="00F56851"/>
    <w:rsid w:val="00F5792E"/>
    <w:rsid w:val="00F603C1"/>
    <w:rsid w:val="00F60F25"/>
    <w:rsid w:val="00F618BF"/>
    <w:rsid w:val="00F625D5"/>
    <w:rsid w:val="00F631E9"/>
    <w:rsid w:val="00F637F1"/>
    <w:rsid w:val="00F66118"/>
    <w:rsid w:val="00F66D33"/>
    <w:rsid w:val="00F6751B"/>
    <w:rsid w:val="00F700B1"/>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308"/>
    <w:rsid w:val="00F775BB"/>
    <w:rsid w:val="00F77F0A"/>
    <w:rsid w:val="00F802F5"/>
    <w:rsid w:val="00F81AE9"/>
    <w:rsid w:val="00F826D4"/>
    <w:rsid w:val="00F82C00"/>
    <w:rsid w:val="00F83178"/>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97ED1"/>
    <w:rsid w:val="00FA1DE3"/>
    <w:rsid w:val="00FA2BDB"/>
    <w:rsid w:val="00FA3AD9"/>
    <w:rsid w:val="00FA41A9"/>
    <w:rsid w:val="00FA428A"/>
    <w:rsid w:val="00FA585D"/>
    <w:rsid w:val="00FA5C5E"/>
    <w:rsid w:val="00FA5F62"/>
    <w:rsid w:val="00FA6945"/>
    <w:rsid w:val="00FA780A"/>
    <w:rsid w:val="00FB01E5"/>
    <w:rsid w:val="00FB17F1"/>
    <w:rsid w:val="00FB2499"/>
    <w:rsid w:val="00FB2A9E"/>
    <w:rsid w:val="00FB335D"/>
    <w:rsid w:val="00FB3425"/>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6777"/>
    <w:rsid w:val="00FD7B07"/>
    <w:rsid w:val="00FE0CEA"/>
    <w:rsid w:val="00FE16FA"/>
    <w:rsid w:val="00FE2017"/>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FF"/>
    <w:rsid w:val="00FF6CAD"/>
    <w:rsid w:val="00FF7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Segoe UI"/>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52"/>
    <w:pPr>
      <w:spacing w:before="120"/>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B03B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55D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700B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B03B2"/>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355D0"/>
    <w:rPr>
      <w:rFonts w:ascii="Arial" w:eastAsia="SimSun" w:hAnsi="Arial" w:cs="Times New Roman"/>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700B1"/>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286A2E"/>
    <w:pPr>
      <w:numPr>
        <w:numId w:val="16"/>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14579E"/>
    <w:rPr>
      <w:color w:val="0000FF"/>
      <w:u w:val="single"/>
    </w:rPr>
  </w:style>
  <w:style w:type="paragraph" w:customStyle="1" w:styleId="Doc-text2">
    <w:name w:val="Doc-text2"/>
    <w:basedOn w:val="Normal"/>
    <w:link w:val="Doc-text2Char"/>
    <w:qFormat/>
    <w:rsid w:val="007C729C"/>
    <w:pPr>
      <w:tabs>
        <w:tab w:val="left" w:pos="1622"/>
      </w:tabs>
      <w:spacing w:before="0" w:after="0" w:line="240" w:lineRule="auto"/>
      <w:ind w:left="1622" w:hanging="363"/>
    </w:pPr>
    <w:rPr>
      <w:rFonts w:eastAsiaTheme="minorHAnsi" w:cs="Times New Roman"/>
      <w:kern w:val="2"/>
      <w:szCs w:val="20"/>
      <w:lang w:val="en-GB" w:eastAsia="en-US"/>
      <w14:ligatures w14:val="standardContextual"/>
    </w:rPr>
  </w:style>
  <w:style w:type="character" w:customStyle="1" w:styleId="Doc-text2Char">
    <w:name w:val="Doc-text2 Char"/>
    <w:link w:val="Doc-text2"/>
    <w:rsid w:val="007C729C"/>
    <w:rPr>
      <w:rFonts w:ascii="Times New Roman" w:eastAsiaTheme="minorHAnsi" w:hAnsi="Times New Roman" w:cs="Times New Roman"/>
      <w:kern w:val="2"/>
      <w:sz w:val="20"/>
      <w:szCs w:val="20"/>
      <w:lang w:val="en-GB" w:eastAsia="en-US"/>
      <w14:ligatures w14:val="standardContextual"/>
    </w:rPr>
  </w:style>
  <w:style w:type="paragraph" w:customStyle="1" w:styleId="title1">
    <w:name w:val="title 1"/>
    <w:basedOn w:val="Heading1"/>
    <w:next w:val="Normal"/>
    <w:qFormat/>
    <w:rsid w:val="005B645D"/>
    <w:pPr>
      <w:numPr>
        <w:numId w:val="30"/>
      </w:numPr>
      <w:spacing w:beforeLines="50" w:before="120" w:afterLines="50" w:after="120"/>
    </w:pPr>
    <w:rPr>
      <w:sz w:val="36"/>
      <w:szCs w:val="20"/>
      <w:lang w:val="en-US"/>
    </w:rPr>
  </w:style>
  <w:style w:type="paragraph" w:customStyle="1" w:styleId="title2">
    <w:name w:val="title 2"/>
    <w:basedOn w:val="Heading2"/>
    <w:next w:val="Normal"/>
    <w:link w:val="title2Char"/>
    <w:qFormat/>
    <w:rsid w:val="005B645D"/>
    <w:pPr>
      <w:keepLines w:val="0"/>
      <w:numPr>
        <w:numId w:val="30"/>
      </w:numPr>
      <w:overflowPunct/>
      <w:autoSpaceDE/>
      <w:autoSpaceDN/>
      <w:adjustRightInd/>
      <w:spacing w:before="240" w:after="60"/>
      <w:ind w:left="0" w:firstLine="0"/>
      <w:jc w:val="both"/>
      <w:textAlignment w:val="auto"/>
    </w:pPr>
    <w:rPr>
      <w:rFonts w:eastAsia="Arial" w:cs="Arial"/>
      <w:bCs/>
      <w:iCs/>
      <w:szCs w:val="28"/>
      <w:lang w:val="en-US"/>
    </w:rPr>
  </w:style>
  <w:style w:type="paragraph" w:customStyle="1" w:styleId="title3">
    <w:name w:val="title 3"/>
    <w:basedOn w:val="title2"/>
    <w:next w:val="Normal"/>
    <w:qFormat/>
    <w:rsid w:val="005B645D"/>
    <w:pPr>
      <w:numPr>
        <w:ilvl w:val="2"/>
      </w:numPr>
      <w:ind w:left="2160" w:hanging="360"/>
      <w:outlineLvl w:val="2"/>
    </w:pPr>
    <w:rPr>
      <w:sz w:val="22"/>
    </w:rPr>
  </w:style>
  <w:style w:type="character" w:customStyle="1" w:styleId="title2Char">
    <w:name w:val="title 2 Char"/>
    <w:link w:val="title2"/>
    <w:rsid w:val="005B645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5B645D"/>
    <w:pPr>
      <w:numPr>
        <w:numId w:val="29"/>
      </w:numPr>
      <w:spacing w:beforeLines="50" w:afterLines="50" w:line="240" w:lineRule="auto"/>
      <w:ind w:left="1134" w:hanging="1134"/>
      <w:jc w:val="both"/>
    </w:pPr>
    <w:rPr>
      <w:rFonts w:eastAsia="SimSun" w:cs="Times New Roman"/>
      <w:b/>
      <w:szCs w:val="20"/>
      <w:lang w:eastAsia="zh-CN"/>
    </w:rPr>
  </w:style>
  <w:style w:type="character" w:customStyle="1" w:styleId="proposalChar">
    <w:name w:val="proposal Char"/>
    <w:link w:val="proposal"/>
    <w:rsid w:val="005B645D"/>
    <w:rPr>
      <w:rFonts w:ascii="Times New Roman" w:eastAsia="SimSun" w:hAnsi="Times New Roman" w:cs="Times New Roman"/>
      <w:b/>
      <w:sz w:val="20"/>
      <w:szCs w:val="20"/>
      <w:lang w:eastAsia="zh-CN"/>
    </w:rPr>
  </w:style>
  <w:style w:type="paragraph" w:styleId="BodyText">
    <w:name w:val="Body Text"/>
    <w:basedOn w:val="Normal"/>
    <w:link w:val="BodyTextChar"/>
    <w:uiPriority w:val="99"/>
    <w:semiHidden/>
    <w:unhideWhenUsed/>
    <w:rsid w:val="005B645D"/>
    <w:pPr>
      <w:spacing w:after="120"/>
    </w:pPr>
  </w:style>
  <w:style w:type="character" w:customStyle="1" w:styleId="BodyTextChar">
    <w:name w:val="Body Text Char"/>
    <w:basedOn w:val="DefaultParagraphFont"/>
    <w:link w:val="BodyText"/>
    <w:uiPriority w:val="99"/>
    <w:semiHidden/>
    <w:rsid w:val="005B645D"/>
    <w:rPr>
      <w:rFonts w:ascii="Times New Roman" w:hAnsi="Times New Roman"/>
      <w:sz w:val="20"/>
    </w:rPr>
  </w:style>
  <w:style w:type="paragraph" w:customStyle="1" w:styleId="pf0">
    <w:name w:val="pf0"/>
    <w:basedOn w:val="Normal"/>
    <w:rsid w:val="00B97E4C"/>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B97E4C"/>
    <w:rPr>
      <w:rFonts w:ascii="Segoe UI" w:hAnsi="Segoe UI" w:cs="Segoe UI" w:hint="default"/>
      <w:sz w:val="18"/>
      <w:szCs w:val="18"/>
    </w:rPr>
  </w:style>
  <w:style w:type="character" w:customStyle="1" w:styleId="cf21">
    <w:name w:val="cf21"/>
    <w:basedOn w:val="DefaultParagraphFont"/>
    <w:rsid w:val="00B97E4C"/>
    <w:rPr>
      <w:rFonts w:ascii="Segoe UI" w:hAnsi="Segoe UI" w:cs="Segoe UI" w:hint="default"/>
      <w:b/>
      <w:bCs/>
      <w:sz w:val="18"/>
      <w:szCs w:val="18"/>
    </w:rPr>
  </w:style>
  <w:style w:type="paragraph" w:customStyle="1" w:styleId="TdocHeader2">
    <w:name w:val="Tdoc_Header_2"/>
    <w:basedOn w:val="Normal"/>
    <w:qFormat/>
    <w:rsid w:val="00026CA0"/>
    <w:pPr>
      <w:widowControl w:val="0"/>
      <w:tabs>
        <w:tab w:val="left" w:pos="1701"/>
        <w:tab w:val="right" w:pos="9072"/>
        <w:tab w:val="right" w:pos="10206"/>
      </w:tabs>
      <w:spacing w:before="0" w:after="0" w:line="240" w:lineRule="auto"/>
      <w:jc w:val="both"/>
    </w:pPr>
    <w:rPr>
      <w:rFonts w:ascii="Arial" w:eastAsia="Batang"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556865825">
      <w:bodyDiv w:val="1"/>
      <w:marLeft w:val="0"/>
      <w:marRight w:val="0"/>
      <w:marTop w:val="0"/>
      <w:marBottom w:val="0"/>
      <w:divBdr>
        <w:top w:val="none" w:sz="0" w:space="0" w:color="auto"/>
        <w:left w:val="none" w:sz="0" w:space="0" w:color="auto"/>
        <w:bottom w:val="none" w:sz="0" w:space="0" w:color="auto"/>
        <w:right w:val="none" w:sz="0" w:space="0" w:color="auto"/>
      </w:divBdr>
      <w:divsChild>
        <w:div w:id="394859609">
          <w:marLeft w:val="547"/>
          <w:marRight w:val="0"/>
          <w:marTop w:val="0"/>
          <w:marBottom w:val="0"/>
          <w:divBdr>
            <w:top w:val="none" w:sz="0" w:space="0" w:color="auto"/>
            <w:left w:val="none" w:sz="0" w:space="0" w:color="auto"/>
            <w:bottom w:val="none" w:sz="0" w:space="0" w:color="auto"/>
            <w:right w:val="none" w:sz="0" w:space="0" w:color="auto"/>
          </w:divBdr>
        </w:div>
        <w:div w:id="125974016">
          <w:marLeft w:val="1166"/>
          <w:marRight w:val="0"/>
          <w:marTop w:val="0"/>
          <w:marBottom w:val="0"/>
          <w:divBdr>
            <w:top w:val="none" w:sz="0" w:space="0" w:color="auto"/>
            <w:left w:val="none" w:sz="0" w:space="0" w:color="auto"/>
            <w:bottom w:val="none" w:sz="0" w:space="0" w:color="auto"/>
            <w:right w:val="none" w:sz="0" w:space="0" w:color="auto"/>
          </w:divBdr>
        </w:div>
        <w:div w:id="1026561620">
          <w:marLeft w:val="1800"/>
          <w:marRight w:val="0"/>
          <w:marTop w:val="0"/>
          <w:marBottom w:val="0"/>
          <w:divBdr>
            <w:top w:val="none" w:sz="0" w:space="0" w:color="auto"/>
            <w:left w:val="none" w:sz="0" w:space="0" w:color="auto"/>
            <w:bottom w:val="none" w:sz="0" w:space="0" w:color="auto"/>
            <w:right w:val="none" w:sz="0" w:space="0" w:color="auto"/>
          </w:divBdr>
        </w:div>
        <w:div w:id="1606112473">
          <w:marLeft w:val="1800"/>
          <w:marRight w:val="0"/>
          <w:marTop w:val="0"/>
          <w:marBottom w:val="0"/>
          <w:divBdr>
            <w:top w:val="none" w:sz="0" w:space="0" w:color="auto"/>
            <w:left w:val="none" w:sz="0" w:space="0" w:color="auto"/>
            <w:bottom w:val="none" w:sz="0" w:space="0" w:color="auto"/>
            <w:right w:val="none" w:sz="0" w:space="0" w:color="auto"/>
          </w:divBdr>
        </w:div>
        <w:div w:id="484050159">
          <w:marLeft w:val="1166"/>
          <w:marRight w:val="0"/>
          <w:marTop w:val="0"/>
          <w:marBottom w:val="0"/>
          <w:divBdr>
            <w:top w:val="none" w:sz="0" w:space="0" w:color="auto"/>
            <w:left w:val="none" w:sz="0" w:space="0" w:color="auto"/>
            <w:bottom w:val="none" w:sz="0" w:space="0" w:color="auto"/>
            <w:right w:val="none" w:sz="0" w:space="0" w:color="auto"/>
          </w:divBdr>
        </w:div>
        <w:div w:id="1468737095">
          <w:marLeft w:val="1800"/>
          <w:marRight w:val="0"/>
          <w:marTop w:val="0"/>
          <w:marBottom w:val="0"/>
          <w:divBdr>
            <w:top w:val="none" w:sz="0" w:space="0" w:color="auto"/>
            <w:left w:val="none" w:sz="0" w:space="0" w:color="auto"/>
            <w:bottom w:val="none" w:sz="0" w:space="0" w:color="auto"/>
            <w:right w:val="none" w:sz="0" w:space="0" w:color="auto"/>
          </w:divBdr>
        </w:div>
        <w:div w:id="1972056392">
          <w:marLeft w:val="1800"/>
          <w:marRight w:val="0"/>
          <w:marTop w:val="0"/>
          <w:marBottom w:val="0"/>
          <w:divBdr>
            <w:top w:val="none" w:sz="0" w:space="0" w:color="auto"/>
            <w:left w:val="none" w:sz="0" w:space="0" w:color="auto"/>
            <w:bottom w:val="none" w:sz="0" w:space="0" w:color="auto"/>
            <w:right w:val="none" w:sz="0" w:space="0" w:color="auto"/>
          </w:divBdr>
        </w:div>
        <w:div w:id="456262781">
          <w:marLeft w:val="1166"/>
          <w:marRight w:val="0"/>
          <w:marTop w:val="0"/>
          <w:marBottom w:val="0"/>
          <w:divBdr>
            <w:top w:val="none" w:sz="0" w:space="0" w:color="auto"/>
            <w:left w:val="none" w:sz="0" w:space="0" w:color="auto"/>
            <w:bottom w:val="none" w:sz="0" w:space="0" w:color="auto"/>
            <w:right w:val="none" w:sz="0" w:space="0" w:color="auto"/>
          </w:divBdr>
        </w:div>
        <w:div w:id="830214027">
          <w:marLeft w:val="1800"/>
          <w:marRight w:val="0"/>
          <w:marTop w:val="0"/>
          <w:marBottom w:val="0"/>
          <w:divBdr>
            <w:top w:val="none" w:sz="0" w:space="0" w:color="auto"/>
            <w:left w:val="none" w:sz="0" w:space="0" w:color="auto"/>
            <w:bottom w:val="none" w:sz="0" w:space="0" w:color="auto"/>
            <w:right w:val="none" w:sz="0" w:space="0" w:color="auto"/>
          </w:divBdr>
        </w:div>
        <w:div w:id="1664236372">
          <w:marLeft w:val="1166"/>
          <w:marRight w:val="0"/>
          <w:marTop w:val="0"/>
          <w:marBottom w:val="0"/>
          <w:divBdr>
            <w:top w:val="none" w:sz="0" w:space="0" w:color="auto"/>
            <w:left w:val="none" w:sz="0" w:space="0" w:color="auto"/>
            <w:bottom w:val="none" w:sz="0" w:space="0" w:color="auto"/>
            <w:right w:val="none" w:sz="0" w:space="0" w:color="auto"/>
          </w:divBdr>
        </w:div>
        <w:div w:id="1985044875">
          <w:marLeft w:val="1800"/>
          <w:marRight w:val="0"/>
          <w:marTop w:val="0"/>
          <w:marBottom w:val="0"/>
          <w:divBdr>
            <w:top w:val="none" w:sz="0" w:space="0" w:color="auto"/>
            <w:left w:val="none" w:sz="0" w:space="0" w:color="auto"/>
            <w:bottom w:val="none" w:sz="0" w:space="0" w:color="auto"/>
            <w:right w:val="none" w:sz="0" w:space="0" w:color="auto"/>
          </w:divBdr>
        </w:div>
        <w:div w:id="1193373851">
          <w:marLeft w:val="1800"/>
          <w:marRight w:val="0"/>
          <w:marTop w:val="0"/>
          <w:marBottom w:val="0"/>
          <w:divBdr>
            <w:top w:val="none" w:sz="0" w:space="0" w:color="auto"/>
            <w:left w:val="none" w:sz="0" w:space="0" w:color="auto"/>
            <w:bottom w:val="none" w:sz="0" w:space="0" w:color="auto"/>
            <w:right w:val="none" w:sz="0" w:space="0" w:color="auto"/>
          </w:divBdr>
        </w:div>
      </w:divsChild>
    </w:div>
    <w:div w:id="795106457">
      <w:bodyDiv w:val="1"/>
      <w:marLeft w:val="0"/>
      <w:marRight w:val="0"/>
      <w:marTop w:val="0"/>
      <w:marBottom w:val="0"/>
      <w:divBdr>
        <w:top w:val="none" w:sz="0" w:space="0" w:color="auto"/>
        <w:left w:val="none" w:sz="0" w:space="0" w:color="auto"/>
        <w:bottom w:val="none" w:sz="0" w:space="0" w:color="auto"/>
        <w:right w:val="none" w:sz="0" w:space="0" w:color="auto"/>
      </w:divBdr>
      <w:divsChild>
        <w:div w:id="1423448470">
          <w:marLeft w:val="547"/>
          <w:marRight w:val="0"/>
          <w:marTop w:val="0"/>
          <w:marBottom w:val="0"/>
          <w:divBdr>
            <w:top w:val="none" w:sz="0" w:space="0" w:color="auto"/>
            <w:left w:val="none" w:sz="0" w:space="0" w:color="auto"/>
            <w:bottom w:val="none" w:sz="0" w:space="0" w:color="auto"/>
            <w:right w:val="none" w:sz="0" w:space="0" w:color="auto"/>
          </w:divBdr>
        </w:div>
        <w:div w:id="143933964">
          <w:marLeft w:val="1166"/>
          <w:marRight w:val="0"/>
          <w:marTop w:val="0"/>
          <w:marBottom w:val="0"/>
          <w:divBdr>
            <w:top w:val="none" w:sz="0" w:space="0" w:color="auto"/>
            <w:left w:val="none" w:sz="0" w:space="0" w:color="auto"/>
            <w:bottom w:val="none" w:sz="0" w:space="0" w:color="auto"/>
            <w:right w:val="none" w:sz="0" w:space="0" w:color="auto"/>
          </w:divBdr>
        </w:div>
        <w:div w:id="1216896043">
          <w:marLeft w:val="1800"/>
          <w:marRight w:val="0"/>
          <w:marTop w:val="0"/>
          <w:marBottom w:val="0"/>
          <w:divBdr>
            <w:top w:val="none" w:sz="0" w:space="0" w:color="auto"/>
            <w:left w:val="none" w:sz="0" w:space="0" w:color="auto"/>
            <w:bottom w:val="none" w:sz="0" w:space="0" w:color="auto"/>
            <w:right w:val="none" w:sz="0" w:space="0" w:color="auto"/>
          </w:divBdr>
        </w:div>
        <w:div w:id="305280520">
          <w:marLeft w:val="1800"/>
          <w:marRight w:val="0"/>
          <w:marTop w:val="0"/>
          <w:marBottom w:val="0"/>
          <w:divBdr>
            <w:top w:val="none" w:sz="0" w:space="0" w:color="auto"/>
            <w:left w:val="none" w:sz="0" w:space="0" w:color="auto"/>
            <w:bottom w:val="none" w:sz="0" w:space="0" w:color="auto"/>
            <w:right w:val="none" w:sz="0" w:space="0" w:color="auto"/>
          </w:divBdr>
        </w:div>
        <w:div w:id="1854950885">
          <w:marLeft w:val="1166"/>
          <w:marRight w:val="0"/>
          <w:marTop w:val="0"/>
          <w:marBottom w:val="0"/>
          <w:divBdr>
            <w:top w:val="none" w:sz="0" w:space="0" w:color="auto"/>
            <w:left w:val="none" w:sz="0" w:space="0" w:color="auto"/>
            <w:bottom w:val="none" w:sz="0" w:space="0" w:color="auto"/>
            <w:right w:val="none" w:sz="0" w:space="0" w:color="auto"/>
          </w:divBdr>
        </w:div>
        <w:div w:id="1673296082">
          <w:marLeft w:val="1800"/>
          <w:marRight w:val="0"/>
          <w:marTop w:val="0"/>
          <w:marBottom w:val="0"/>
          <w:divBdr>
            <w:top w:val="none" w:sz="0" w:space="0" w:color="auto"/>
            <w:left w:val="none" w:sz="0" w:space="0" w:color="auto"/>
            <w:bottom w:val="none" w:sz="0" w:space="0" w:color="auto"/>
            <w:right w:val="none" w:sz="0" w:space="0" w:color="auto"/>
          </w:divBdr>
        </w:div>
        <w:div w:id="612058126">
          <w:marLeft w:val="1800"/>
          <w:marRight w:val="0"/>
          <w:marTop w:val="0"/>
          <w:marBottom w:val="0"/>
          <w:divBdr>
            <w:top w:val="none" w:sz="0" w:space="0" w:color="auto"/>
            <w:left w:val="none" w:sz="0" w:space="0" w:color="auto"/>
            <w:bottom w:val="none" w:sz="0" w:space="0" w:color="auto"/>
            <w:right w:val="none" w:sz="0" w:space="0" w:color="auto"/>
          </w:divBdr>
        </w:div>
        <w:div w:id="130632069">
          <w:marLeft w:val="1166"/>
          <w:marRight w:val="0"/>
          <w:marTop w:val="0"/>
          <w:marBottom w:val="0"/>
          <w:divBdr>
            <w:top w:val="none" w:sz="0" w:space="0" w:color="auto"/>
            <w:left w:val="none" w:sz="0" w:space="0" w:color="auto"/>
            <w:bottom w:val="none" w:sz="0" w:space="0" w:color="auto"/>
            <w:right w:val="none" w:sz="0" w:space="0" w:color="auto"/>
          </w:divBdr>
        </w:div>
        <w:div w:id="1385300394">
          <w:marLeft w:val="1800"/>
          <w:marRight w:val="0"/>
          <w:marTop w:val="0"/>
          <w:marBottom w:val="0"/>
          <w:divBdr>
            <w:top w:val="none" w:sz="0" w:space="0" w:color="auto"/>
            <w:left w:val="none" w:sz="0" w:space="0" w:color="auto"/>
            <w:bottom w:val="none" w:sz="0" w:space="0" w:color="auto"/>
            <w:right w:val="none" w:sz="0" w:space="0" w:color="auto"/>
          </w:divBdr>
        </w:div>
        <w:div w:id="25567725">
          <w:marLeft w:val="1166"/>
          <w:marRight w:val="0"/>
          <w:marTop w:val="0"/>
          <w:marBottom w:val="0"/>
          <w:divBdr>
            <w:top w:val="none" w:sz="0" w:space="0" w:color="auto"/>
            <w:left w:val="none" w:sz="0" w:space="0" w:color="auto"/>
            <w:bottom w:val="none" w:sz="0" w:space="0" w:color="auto"/>
            <w:right w:val="none" w:sz="0" w:space="0" w:color="auto"/>
          </w:divBdr>
        </w:div>
        <w:div w:id="2055500420">
          <w:marLeft w:val="1800"/>
          <w:marRight w:val="0"/>
          <w:marTop w:val="0"/>
          <w:marBottom w:val="0"/>
          <w:divBdr>
            <w:top w:val="none" w:sz="0" w:space="0" w:color="auto"/>
            <w:left w:val="none" w:sz="0" w:space="0" w:color="auto"/>
            <w:bottom w:val="none" w:sz="0" w:space="0" w:color="auto"/>
            <w:right w:val="none" w:sz="0" w:space="0" w:color="auto"/>
          </w:divBdr>
        </w:div>
        <w:div w:id="2001999471">
          <w:marLeft w:val="1800"/>
          <w:marRight w:val="0"/>
          <w:marTop w:val="0"/>
          <w:marBottom w:val="0"/>
          <w:divBdr>
            <w:top w:val="none" w:sz="0" w:space="0" w:color="auto"/>
            <w:left w:val="none" w:sz="0" w:space="0" w:color="auto"/>
            <w:bottom w:val="none" w:sz="0" w:space="0" w:color="auto"/>
            <w:right w:val="none" w:sz="0" w:space="0" w:color="auto"/>
          </w:divBdr>
        </w:div>
      </w:divsChild>
    </w:div>
    <w:div w:id="1225994878">
      <w:bodyDiv w:val="1"/>
      <w:marLeft w:val="0"/>
      <w:marRight w:val="0"/>
      <w:marTop w:val="0"/>
      <w:marBottom w:val="0"/>
      <w:divBdr>
        <w:top w:val="none" w:sz="0" w:space="0" w:color="auto"/>
        <w:left w:val="none" w:sz="0" w:space="0" w:color="auto"/>
        <w:bottom w:val="none" w:sz="0" w:space="0" w:color="auto"/>
        <w:right w:val="none" w:sz="0" w:space="0" w:color="auto"/>
      </w:divBdr>
      <w:divsChild>
        <w:div w:id="1391882574">
          <w:marLeft w:val="1800"/>
          <w:marRight w:val="0"/>
          <w:marTop w:val="0"/>
          <w:marBottom w:val="0"/>
          <w:divBdr>
            <w:top w:val="none" w:sz="0" w:space="0" w:color="auto"/>
            <w:left w:val="none" w:sz="0" w:space="0" w:color="auto"/>
            <w:bottom w:val="none" w:sz="0" w:space="0" w:color="auto"/>
            <w:right w:val="none" w:sz="0" w:space="0" w:color="auto"/>
          </w:divBdr>
        </w:div>
        <w:div w:id="1458721505">
          <w:marLeft w:val="1800"/>
          <w:marRight w:val="0"/>
          <w:marTop w:val="0"/>
          <w:marBottom w:val="0"/>
          <w:divBdr>
            <w:top w:val="none" w:sz="0" w:space="0" w:color="auto"/>
            <w:left w:val="none" w:sz="0" w:space="0" w:color="auto"/>
            <w:bottom w:val="none" w:sz="0" w:space="0" w:color="auto"/>
            <w:right w:val="none" w:sz="0" w:space="0" w:color="auto"/>
          </w:divBdr>
        </w:div>
        <w:div w:id="2126149571">
          <w:marLeft w:val="1800"/>
          <w:marRight w:val="0"/>
          <w:marTop w:val="0"/>
          <w:marBottom w:val="0"/>
          <w:divBdr>
            <w:top w:val="none" w:sz="0" w:space="0" w:color="auto"/>
            <w:left w:val="none" w:sz="0" w:space="0" w:color="auto"/>
            <w:bottom w:val="none" w:sz="0" w:space="0" w:color="auto"/>
            <w:right w:val="none" w:sz="0" w:space="0" w:color="auto"/>
          </w:divBdr>
        </w:div>
        <w:div w:id="1453355197">
          <w:marLeft w:val="1800"/>
          <w:marRight w:val="0"/>
          <w:marTop w:val="0"/>
          <w:marBottom w:val="0"/>
          <w:divBdr>
            <w:top w:val="none" w:sz="0" w:space="0" w:color="auto"/>
            <w:left w:val="none" w:sz="0" w:space="0" w:color="auto"/>
            <w:bottom w:val="none" w:sz="0" w:space="0" w:color="auto"/>
            <w:right w:val="none" w:sz="0" w:space="0" w:color="auto"/>
          </w:divBdr>
        </w:div>
        <w:div w:id="2018994484">
          <w:marLeft w:val="1800"/>
          <w:marRight w:val="0"/>
          <w:marTop w:val="0"/>
          <w:marBottom w:val="0"/>
          <w:divBdr>
            <w:top w:val="none" w:sz="0" w:space="0" w:color="auto"/>
            <w:left w:val="none" w:sz="0" w:space="0" w:color="auto"/>
            <w:bottom w:val="none" w:sz="0" w:space="0" w:color="auto"/>
            <w:right w:val="none" w:sz="0" w:space="0" w:color="auto"/>
          </w:divBdr>
        </w:div>
        <w:div w:id="1062673502">
          <w:marLeft w:val="1800"/>
          <w:marRight w:val="0"/>
          <w:marTop w:val="0"/>
          <w:marBottom w:val="0"/>
          <w:divBdr>
            <w:top w:val="none" w:sz="0" w:space="0" w:color="auto"/>
            <w:left w:val="none" w:sz="0" w:space="0" w:color="auto"/>
            <w:bottom w:val="none" w:sz="0" w:space="0" w:color="auto"/>
            <w:right w:val="none" w:sz="0" w:space="0" w:color="auto"/>
          </w:divBdr>
        </w:div>
        <w:div w:id="2027756375">
          <w:marLeft w:val="1800"/>
          <w:marRight w:val="0"/>
          <w:marTop w:val="0"/>
          <w:marBottom w:val="0"/>
          <w:divBdr>
            <w:top w:val="none" w:sz="0" w:space="0" w:color="auto"/>
            <w:left w:val="none" w:sz="0" w:space="0" w:color="auto"/>
            <w:bottom w:val="none" w:sz="0" w:space="0" w:color="auto"/>
            <w:right w:val="none" w:sz="0" w:space="0" w:color="auto"/>
          </w:divBdr>
        </w:div>
        <w:div w:id="17006198">
          <w:marLeft w:val="1800"/>
          <w:marRight w:val="0"/>
          <w:marTop w:val="0"/>
          <w:marBottom w:val="0"/>
          <w:divBdr>
            <w:top w:val="none" w:sz="0" w:space="0" w:color="auto"/>
            <w:left w:val="none" w:sz="0" w:space="0" w:color="auto"/>
            <w:bottom w:val="none" w:sz="0" w:space="0" w:color="auto"/>
            <w:right w:val="none" w:sz="0" w:space="0" w:color="auto"/>
          </w:divBdr>
        </w:div>
        <w:div w:id="253706196">
          <w:marLeft w:val="1800"/>
          <w:marRight w:val="0"/>
          <w:marTop w:val="0"/>
          <w:marBottom w:val="0"/>
          <w:divBdr>
            <w:top w:val="none" w:sz="0" w:space="0" w:color="auto"/>
            <w:left w:val="none" w:sz="0" w:space="0" w:color="auto"/>
            <w:bottom w:val="none" w:sz="0" w:space="0" w:color="auto"/>
            <w:right w:val="none" w:sz="0" w:space="0" w:color="auto"/>
          </w:divBdr>
        </w:div>
        <w:div w:id="1395742177">
          <w:marLeft w:val="1800"/>
          <w:marRight w:val="0"/>
          <w:marTop w:val="0"/>
          <w:marBottom w:val="0"/>
          <w:divBdr>
            <w:top w:val="none" w:sz="0" w:space="0" w:color="auto"/>
            <w:left w:val="none" w:sz="0" w:space="0" w:color="auto"/>
            <w:bottom w:val="none" w:sz="0" w:space="0" w:color="auto"/>
            <w:right w:val="none" w:sz="0" w:space="0" w:color="auto"/>
          </w:divBdr>
        </w:div>
      </w:divsChild>
    </w:div>
    <w:div w:id="1250045627">
      <w:bodyDiv w:val="1"/>
      <w:marLeft w:val="0"/>
      <w:marRight w:val="0"/>
      <w:marTop w:val="0"/>
      <w:marBottom w:val="0"/>
      <w:divBdr>
        <w:top w:val="none" w:sz="0" w:space="0" w:color="auto"/>
        <w:left w:val="none" w:sz="0" w:space="0" w:color="auto"/>
        <w:bottom w:val="none" w:sz="0" w:space="0" w:color="auto"/>
        <w:right w:val="none" w:sz="0" w:space="0" w:color="auto"/>
      </w:divBdr>
      <w:divsChild>
        <w:div w:id="970132042">
          <w:marLeft w:val="547"/>
          <w:marRight w:val="0"/>
          <w:marTop w:val="0"/>
          <w:marBottom w:val="0"/>
          <w:divBdr>
            <w:top w:val="none" w:sz="0" w:space="0" w:color="auto"/>
            <w:left w:val="none" w:sz="0" w:space="0" w:color="auto"/>
            <w:bottom w:val="none" w:sz="0" w:space="0" w:color="auto"/>
            <w:right w:val="none" w:sz="0" w:space="0" w:color="auto"/>
          </w:divBdr>
        </w:div>
        <w:div w:id="1810711754">
          <w:marLeft w:val="1080"/>
          <w:marRight w:val="0"/>
          <w:marTop w:val="0"/>
          <w:marBottom w:val="0"/>
          <w:divBdr>
            <w:top w:val="none" w:sz="0" w:space="0" w:color="auto"/>
            <w:left w:val="none" w:sz="0" w:space="0" w:color="auto"/>
            <w:bottom w:val="none" w:sz="0" w:space="0" w:color="auto"/>
            <w:right w:val="none" w:sz="0" w:space="0" w:color="auto"/>
          </w:divBdr>
        </w:div>
        <w:div w:id="1903176574">
          <w:marLeft w:val="1800"/>
          <w:marRight w:val="0"/>
          <w:marTop w:val="0"/>
          <w:marBottom w:val="0"/>
          <w:divBdr>
            <w:top w:val="none" w:sz="0" w:space="0" w:color="auto"/>
            <w:left w:val="none" w:sz="0" w:space="0" w:color="auto"/>
            <w:bottom w:val="none" w:sz="0" w:space="0" w:color="auto"/>
            <w:right w:val="none" w:sz="0" w:space="0" w:color="auto"/>
          </w:divBdr>
        </w:div>
        <w:div w:id="378357462">
          <w:marLeft w:val="1800"/>
          <w:marRight w:val="0"/>
          <w:marTop w:val="0"/>
          <w:marBottom w:val="0"/>
          <w:divBdr>
            <w:top w:val="none" w:sz="0" w:space="0" w:color="auto"/>
            <w:left w:val="none" w:sz="0" w:space="0" w:color="auto"/>
            <w:bottom w:val="none" w:sz="0" w:space="0" w:color="auto"/>
            <w:right w:val="none" w:sz="0" w:space="0" w:color="auto"/>
          </w:divBdr>
        </w:div>
        <w:div w:id="1053970147">
          <w:marLeft w:val="1800"/>
          <w:marRight w:val="0"/>
          <w:marTop w:val="0"/>
          <w:marBottom w:val="0"/>
          <w:divBdr>
            <w:top w:val="none" w:sz="0" w:space="0" w:color="auto"/>
            <w:left w:val="none" w:sz="0" w:space="0" w:color="auto"/>
            <w:bottom w:val="none" w:sz="0" w:space="0" w:color="auto"/>
            <w:right w:val="none" w:sz="0" w:space="0" w:color="auto"/>
          </w:divBdr>
        </w:div>
        <w:div w:id="1983655024">
          <w:marLeft w:val="1800"/>
          <w:marRight w:val="0"/>
          <w:marTop w:val="0"/>
          <w:marBottom w:val="0"/>
          <w:divBdr>
            <w:top w:val="none" w:sz="0" w:space="0" w:color="auto"/>
            <w:left w:val="none" w:sz="0" w:space="0" w:color="auto"/>
            <w:bottom w:val="none" w:sz="0" w:space="0" w:color="auto"/>
            <w:right w:val="none" w:sz="0" w:space="0" w:color="auto"/>
          </w:divBdr>
        </w:div>
        <w:div w:id="394007340">
          <w:marLeft w:val="1800"/>
          <w:marRight w:val="0"/>
          <w:marTop w:val="0"/>
          <w:marBottom w:val="0"/>
          <w:divBdr>
            <w:top w:val="none" w:sz="0" w:space="0" w:color="auto"/>
            <w:left w:val="none" w:sz="0" w:space="0" w:color="auto"/>
            <w:bottom w:val="none" w:sz="0" w:space="0" w:color="auto"/>
            <w:right w:val="none" w:sz="0" w:space="0" w:color="auto"/>
          </w:divBdr>
        </w:div>
        <w:div w:id="244582496">
          <w:marLeft w:val="1800"/>
          <w:marRight w:val="0"/>
          <w:marTop w:val="0"/>
          <w:marBottom w:val="0"/>
          <w:divBdr>
            <w:top w:val="none" w:sz="0" w:space="0" w:color="auto"/>
            <w:left w:val="none" w:sz="0" w:space="0" w:color="auto"/>
            <w:bottom w:val="none" w:sz="0" w:space="0" w:color="auto"/>
            <w:right w:val="none" w:sz="0" w:space="0" w:color="auto"/>
          </w:divBdr>
        </w:div>
        <w:div w:id="1151563303">
          <w:marLeft w:val="1800"/>
          <w:marRight w:val="0"/>
          <w:marTop w:val="0"/>
          <w:marBottom w:val="0"/>
          <w:divBdr>
            <w:top w:val="none" w:sz="0" w:space="0" w:color="auto"/>
            <w:left w:val="none" w:sz="0" w:space="0" w:color="auto"/>
            <w:bottom w:val="none" w:sz="0" w:space="0" w:color="auto"/>
            <w:right w:val="none" w:sz="0" w:space="0" w:color="auto"/>
          </w:divBdr>
        </w:div>
        <w:div w:id="136187850">
          <w:marLeft w:val="1800"/>
          <w:marRight w:val="0"/>
          <w:marTop w:val="0"/>
          <w:marBottom w:val="0"/>
          <w:divBdr>
            <w:top w:val="none" w:sz="0" w:space="0" w:color="auto"/>
            <w:left w:val="none" w:sz="0" w:space="0" w:color="auto"/>
            <w:bottom w:val="none" w:sz="0" w:space="0" w:color="auto"/>
            <w:right w:val="none" w:sz="0" w:space="0" w:color="auto"/>
          </w:divBdr>
        </w:div>
        <w:div w:id="724371240">
          <w:marLeft w:val="1800"/>
          <w:marRight w:val="0"/>
          <w:marTop w:val="0"/>
          <w:marBottom w:val="0"/>
          <w:divBdr>
            <w:top w:val="none" w:sz="0" w:space="0" w:color="auto"/>
            <w:left w:val="none" w:sz="0" w:space="0" w:color="auto"/>
            <w:bottom w:val="none" w:sz="0" w:space="0" w:color="auto"/>
            <w:right w:val="none" w:sz="0" w:space="0" w:color="auto"/>
          </w:divBdr>
        </w:div>
        <w:div w:id="848758783">
          <w:marLeft w:val="1800"/>
          <w:marRight w:val="0"/>
          <w:marTop w:val="0"/>
          <w:marBottom w:val="0"/>
          <w:divBdr>
            <w:top w:val="none" w:sz="0" w:space="0" w:color="auto"/>
            <w:left w:val="none" w:sz="0" w:space="0" w:color="auto"/>
            <w:bottom w:val="none" w:sz="0" w:space="0" w:color="auto"/>
            <w:right w:val="none" w:sz="0" w:space="0" w:color="auto"/>
          </w:divBdr>
        </w:div>
      </w:divsChild>
    </w:div>
    <w:div w:id="1253006867">
      <w:bodyDiv w:val="1"/>
      <w:marLeft w:val="0"/>
      <w:marRight w:val="0"/>
      <w:marTop w:val="0"/>
      <w:marBottom w:val="0"/>
      <w:divBdr>
        <w:top w:val="none" w:sz="0" w:space="0" w:color="auto"/>
        <w:left w:val="none" w:sz="0" w:space="0" w:color="auto"/>
        <w:bottom w:val="none" w:sz="0" w:space="0" w:color="auto"/>
        <w:right w:val="none" w:sz="0" w:space="0" w:color="auto"/>
      </w:divBdr>
      <w:divsChild>
        <w:div w:id="584920772">
          <w:marLeft w:val="1800"/>
          <w:marRight w:val="0"/>
          <w:marTop w:val="0"/>
          <w:marBottom w:val="0"/>
          <w:divBdr>
            <w:top w:val="none" w:sz="0" w:space="0" w:color="auto"/>
            <w:left w:val="none" w:sz="0" w:space="0" w:color="auto"/>
            <w:bottom w:val="none" w:sz="0" w:space="0" w:color="auto"/>
            <w:right w:val="none" w:sz="0" w:space="0" w:color="auto"/>
          </w:divBdr>
        </w:div>
        <w:div w:id="2064137430">
          <w:marLeft w:val="2520"/>
          <w:marRight w:val="0"/>
          <w:marTop w:val="0"/>
          <w:marBottom w:val="0"/>
          <w:divBdr>
            <w:top w:val="none" w:sz="0" w:space="0" w:color="auto"/>
            <w:left w:val="none" w:sz="0" w:space="0" w:color="auto"/>
            <w:bottom w:val="none" w:sz="0" w:space="0" w:color="auto"/>
            <w:right w:val="none" w:sz="0" w:space="0" w:color="auto"/>
          </w:divBdr>
        </w:div>
        <w:div w:id="400759766">
          <w:marLeft w:val="2520"/>
          <w:marRight w:val="0"/>
          <w:marTop w:val="0"/>
          <w:marBottom w:val="0"/>
          <w:divBdr>
            <w:top w:val="none" w:sz="0" w:space="0" w:color="auto"/>
            <w:left w:val="none" w:sz="0" w:space="0" w:color="auto"/>
            <w:bottom w:val="none" w:sz="0" w:space="0" w:color="auto"/>
            <w:right w:val="none" w:sz="0" w:space="0" w:color="auto"/>
          </w:divBdr>
        </w:div>
        <w:div w:id="1543010366">
          <w:marLeft w:val="2520"/>
          <w:marRight w:val="0"/>
          <w:marTop w:val="0"/>
          <w:marBottom w:val="0"/>
          <w:divBdr>
            <w:top w:val="none" w:sz="0" w:space="0" w:color="auto"/>
            <w:left w:val="none" w:sz="0" w:space="0" w:color="auto"/>
            <w:bottom w:val="none" w:sz="0" w:space="0" w:color="auto"/>
            <w:right w:val="none" w:sz="0" w:space="0" w:color="auto"/>
          </w:divBdr>
        </w:div>
        <w:div w:id="450393769">
          <w:marLeft w:val="2520"/>
          <w:marRight w:val="0"/>
          <w:marTop w:val="0"/>
          <w:marBottom w:val="0"/>
          <w:divBdr>
            <w:top w:val="none" w:sz="0" w:space="0" w:color="auto"/>
            <w:left w:val="none" w:sz="0" w:space="0" w:color="auto"/>
            <w:bottom w:val="none" w:sz="0" w:space="0" w:color="auto"/>
            <w:right w:val="none" w:sz="0" w:space="0" w:color="auto"/>
          </w:divBdr>
        </w:div>
      </w:divsChild>
    </w:div>
    <w:div w:id="1461994590">
      <w:bodyDiv w:val="1"/>
      <w:marLeft w:val="0"/>
      <w:marRight w:val="0"/>
      <w:marTop w:val="0"/>
      <w:marBottom w:val="0"/>
      <w:divBdr>
        <w:top w:val="none" w:sz="0" w:space="0" w:color="auto"/>
        <w:left w:val="none" w:sz="0" w:space="0" w:color="auto"/>
        <w:bottom w:val="none" w:sz="0" w:space="0" w:color="auto"/>
        <w:right w:val="none" w:sz="0" w:space="0" w:color="auto"/>
      </w:divBdr>
    </w:div>
    <w:div w:id="1689942438">
      <w:bodyDiv w:val="1"/>
      <w:marLeft w:val="0"/>
      <w:marRight w:val="0"/>
      <w:marTop w:val="0"/>
      <w:marBottom w:val="0"/>
      <w:divBdr>
        <w:top w:val="none" w:sz="0" w:space="0" w:color="auto"/>
        <w:left w:val="none" w:sz="0" w:space="0" w:color="auto"/>
        <w:bottom w:val="none" w:sz="0" w:space="0" w:color="auto"/>
        <w:right w:val="none" w:sz="0" w:space="0" w:color="auto"/>
      </w:divBdr>
      <w:divsChild>
        <w:div w:id="1307860179">
          <w:marLeft w:val="346"/>
          <w:marRight w:val="0"/>
          <w:marTop w:val="0"/>
          <w:marBottom w:val="120"/>
          <w:divBdr>
            <w:top w:val="none" w:sz="0" w:space="0" w:color="auto"/>
            <w:left w:val="none" w:sz="0" w:space="0" w:color="auto"/>
            <w:bottom w:val="none" w:sz="0" w:space="0" w:color="auto"/>
            <w:right w:val="none" w:sz="0" w:space="0" w:color="auto"/>
          </w:divBdr>
        </w:div>
        <w:div w:id="968705213">
          <w:marLeft w:val="806"/>
          <w:marRight w:val="0"/>
          <w:marTop w:val="0"/>
          <w:marBottom w:val="120"/>
          <w:divBdr>
            <w:top w:val="none" w:sz="0" w:space="0" w:color="auto"/>
            <w:left w:val="none" w:sz="0" w:space="0" w:color="auto"/>
            <w:bottom w:val="none" w:sz="0" w:space="0" w:color="auto"/>
            <w:right w:val="none" w:sz="0" w:space="0" w:color="auto"/>
          </w:divBdr>
        </w:div>
        <w:div w:id="477840545">
          <w:marLeft w:val="806"/>
          <w:marRight w:val="0"/>
          <w:marTop w:val="0"/>
          <w:marBottom w:val="120"/>
          <w:divBdr>
            <w:top w:val="none" w:sz="0" w:space="0" w:color="auto"/>
            <w:left w:val="none" w:sz="0" w:space="0" w:color="auto"/>
            <w:bottom w:val="none" w:sz="0" w:space="0" w:color="auto"/>
            <w:right w:val="none" w:sz="0" w:space="0" w:color="auto"/>
          </w:divBdr>
        </w:div>
        <w:div w:id="1129588221">
          <w:marLeft w:val="806"/>
          <w:marRight w:val="0"/>
          <w:marTop w:val="0"/>
          <w:marBottom w:val="120"/>
          <w:divBdr>
            <w:top w:val="none" w:sz="0" w:space="0" w:color="auto"/>
            <w:left w:val="none" w:sz="0" w:space="0" w:color="auto"/>
            <w:bottom w:val="none" w:sz="0" w:space="0" w:color="auto"/>
            <w:right w:val="none" w:sz="0" w:space="0" w:color="auto"/>
          </w:divBdr>
        </w:div>
        <w:div w:id="1379009936">
          <w:marLeft w:val="346"/>
          <w:marRight w:val="0"/>
          <w:marTop w:val="0"/>
          <w:marBottom w:val="120"/>
          <w:divBdr>
            <w:top w:val="none" w:sz="0" w:space="0" w:color="auto"/>
            <w:left w:val="none" w:sz="0" w:space="0" w:color="auto"/>
            <w:bottom w:val="none" w:sz="0" w:space="0" w:color="auto"/>
            <w:right w:val="none" w:sz="0" w:space="0" w:color="auto"/>
          </w:divBdr>
        </w:div>
        <w:div w:id="1160273230">
          <w:marLeft w:val="806"/>
          <w:marRight w:val="0"/>
          <w:marTop w:val="0"/>
          <w:marBottom w:val="120"/>
          <w:divBdr>
            <w:top w:val="none" w:sz="0" w:space="0" w:color="auto"/>
            <w:left w:val="none" w:sz="0" w:space="0" w:color="auto"/>
            <w:bottom w:val="none" w:sz="0" w:space="0" w:color="auto"/>
            <w:right w:val="none" w:sz="0" w:space="0" w:color="auto"/>
          </w:divBdr>
        </w:div>
        <w:div w:id="2047944945">
          <w:marLeft w:val="806"/>
          <w:marRight w:val="0"/>
          <w:marTop w:val="0"/>
          <w:marBottom w:val="120"/>
          <w:divBdr>
            <w:top w:val="none" w:sz="0" w:space="0" w:color="auto"/>
            <w:left w:val="none" w:sz="0" w:space="0" w:color="auto"/>
            <w:bottom w:val="none" w:sz="0" w:space="0" w:color="auto"/>
            <w:right w:val="none" w:sz="0" w:space="0" w:color="auto"/>
          </w:divBdr>
        </w:div>
        <w:div w:id="840582263">
          <w:marLeft w:val="806"/>
          <w:marRight w:val="0"/>
          <w:marTop w:val="0"/>
          <w:marBottom w:val="120"/>
          <w:divBdr>
            <w:top w:val="none" w:sz="0" w:space="0" w:color="auto"/>
            <w:left w:val="none" w:sz="0" w:space="0" w:color="auto"/>
            <w:bottom w:val="none" w:sz="0" w:space="0" w:color="auto"/>
            <w:right w:val="none" w:sz="0" w:space="0" w:color="auto"/>
          </w:divBdr>
        </w:div>
        <w:div w:id="940996084">
          <w:marLeft w:val="806"/>
          <w:marRight w:val="0"/>
          <w:marTop w:val="0"/>
          <w:marBottom w:val="120"/>
          <w:divBdr>
            <w:top w:val="none" w:sz="0" w:space="0" w:color="auto"/>
            <w:left w:val="none" w:sz="0" w:space="0" w:color="auto"/>
            <w:bottom w:val="none" w:sz="0" w:space="0" w:color="auto"/>
            <w:right w:val="none" w:sz="0" w:space="0" w:color="auto"/>
          </w:divBdr>
        </w:div>
        <w:div w:id="21662486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10422</TotalTime>
  <Pages>7</Pages>
  <Words>2872</Words>
  <Characters>16375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348</cp:revision>
  <dcterms:created xsi:type="dcterms:W3CDTF">2022-04-28T15:28:00Z</dcterms:created>
  <dcterms:modified xsi:type="dcterms:W3CDTF">2023-02-17T18:04:00Z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